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9B" w:rsidRPr="00F911F8" w:rsidRDefault="00586CB9" w:rsidP="00F91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F8"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 комплексного</w:t>
      </w:r>
    </w:p>
    <w:p w:rsidR="00586CB9" w:rsidRPr="00F911F8" w:rsidRDefault="00586CB9" w:rsidP="00F91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b/>
          <w:sz w:val="28"/>
          <w:szCs w:val="28"/>
        </w:rPr>
        <w:t>развития системы социальной инфраструктуры</w:t>
      </w:r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Новоаганск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, с.п. </w:t>
      </w:r>
      <w:proofErr w:type="spell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, с.п. </w:t>
      </w:r>
      <w:proofErr w:type="spell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Ваховск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, с.п. Вата, с.п. </w:t>
      </w:r>
      <w:proofErr w:type="spellStart"/>
      <w:proofErr w:type="gram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Ларьяк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              с.п. Зайцева Речка, с.п. </w:t>
      </w:r>
      <w:proofErr w:type="spellStart"/>
      <w:r w:rsidR="000D3714" w:rsidRPr="00F911F8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 w:rsidR="000D3714" w:rsidRPr="00F911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11F8">
        <w:rPr>
          <w:rFonts w:ascii="Times New Roman" w:hAnsi="Times New Roman" w:cs="Times New Roman"/>
          <w:b/>
          <w:sz w:val="28"/>
          <w:szCs w:val="28"/>
        </w:rPr>
        <w:t>в том числе отчет о реализации предусмотренных программой проектов</w:t>
      </w:r>
    </w:p>
    <w:p w:rsidR="00AF3189" w:rsidRPr="00F911F8" w:rsidRDefault="00520117" w:rsidP="00F911F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421B5" w:rsidRPr="00F911F8">
        <w:rPr>
          <w:rFonts w:ascii="Times New Roman" w:hAnsi="Times New Roman" w:cs="Times New Roman"/>
          <w:sz w:val="28"/>
          <w:szCs w:val="28"/>
        </w:rPr>
        <w:t>Цел</w:t>
      </w:r>
      <w:r w:rsidR="00D546AC" w:rsidRPr="00F911F8">
        <w:rPr>
          <w:rFonts w:ascii="Times New Roman" w:hAnsi="Times New Roman" w:cs="Times New Roman"/>
          <w:sz w:val="28"/>
          <w:szCs w:val="28"/>
        </w:rPr>
        <w:t xml:space="preserve">и </w:t>
      </w:r>
      <w:r w:rsidR="00E421B5" w:rsidRPr="00F911F8">
        <w:rPr>
          <w:rFonts w:ascii="Times New Roman" w:hAnsi="Times New Roman" w:cs="Times New Roman"/>
          <w:sz w:val="28"/>
          <w:szCs w:val="28"/>
        </w:rPr>
        <w:t>программ:</w:t>
      </w:r>
      <w:r w:rsidR="00AF3189" w:rsidRPr="00F9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94" w:rsidRPr="00F911F8" w:rsidRDefault="00FC5794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обеспечение безопасности, качества и эффективности использования населением объектов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>;</w:t>
      </w:r>
    </w:p>
    <w:p w:rsidR="00FC5794" w:rsidRPr="00F911F8" w:rsidRDefault="00FC5794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обеспечение доступности объектов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 xml:space="preserve"> для населения в соответствии с </w:t>
      </w:r>
      <w:hyperlink r:id="rId6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F911F8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F911F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проектирования;</w:t>
      </w:r>
    </w:p>
    <w:p w:rsidR="00FC5794" w:rsidRPr="00F911F8" w:rsidRDefault="00FC5794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сбалансированного развития систем социальной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инфраструктуры 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 до 2030 года в соответствии с установленными потребностями в объектах социальной инфраструктуры;</w:t>
      </w:r>
    </w:p>
    <w:p w:rsidR="00FC5794" w:rsidRPr="00F911F8" w:rsidRDefault="00FC5794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достижение расчетного уровня обеспеченности населения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 xml:space="preserve"> услугами объектов социальной инфраструктуры в соответствии с </w:t>
      </w:r>
      <w:hyperlink r:id="rId7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F911F8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F911F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проектирования;</w:t>
      </w:r>
    </w:p>
    <w:p w:rsidR="009E52F3" w:rsidRPr="00F911F8" w:rsidRDefault="00FC5794" w:rsidP="00F911F8">
      <w:pPr>
        <w:tabs>
          <w:tab w:val="num" w:pos="853"/>
        </w:tabs>
        <w:autoSpaceDE w:val="0"/>
        <w:autoSpaceDN w:val="0"/>
        <w:adjustRightInd w:val="0"/>
        <w:spacing w:after="0" w:line="240" w:lineRule="auto"/>
        <w:ind w:left="286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обеспечение эффективности функционирования действующей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>.</w:t>
      </w:r>
    </w:p>
    <w:p w:rsidR="00FC5794" w:rsidRPr="00F911F8" w:rsidRDefault="00FC5794" w:rsidP="00F911F8">
      <w:pPr>
        <w:tabs>
          <w:tab w:val="num" w:pos="853"/>
        </w:tabs>
        <w:autoSpaceDE w:val="0"/>
        <w:autoSpaceDN w:val="0"/>
        <w:adjustRightInd w:val="0"/>
        <w:spacing w:after="0" w:line="240" w:lineRule="auto"/>
        <w:ind w:left="286"/>
        <w:jc w:val="both"/>
        <w:rPr>
          <w:rFonts w:ascii="Times New Roman" w:hAnsi="Times New Roman" w:cs="Times New Roman"/>
          <w:sz w:val="28"/>
          <w:szCs w:val="28"/>
        </w:rPr>
      </w:pPr>
    </w:p>
    <w:p w:rsidR="00D546AC" w:rsidRPr="00F911F8" w:rsidRDefault="004821C9" w:rsidP="00F911F8">
      <w:pPr>
        <w:tabs>
          <w:tab w:val="num" w:pos="853"/>
        </w:tabs>
        <w:autoSpaceDE w:val="0"/>
        <w:autoSpaceDN w:val="0"/>
        <w:adjustRightInd w:val="0"/>
        <w:spacing w:after="0" w:line="240" w:lineRule="auto"/>
        <w:ind w:left="28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Задачи программ:</w:t>
      </w:r>
    </w:p>
    <w:p w:rsidR="004B476B" w:rsidRPr="00F911F8" w:rsidRDefault="004B476B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 анализ социально-экономического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развития 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>, наличия и уровня обеспеченности населения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 xml:space="preserve"> услугами объектов социальной инфраструктуры;</w:t>
      </w:r>
    </w:p>
    <w:p w:rsidR="004B476B" w:rsidRPr="00F911F8" w:rsidRDefault="004B476B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прогноз потребностей населения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 xml:space="preserve"> в объектах социальной инфраструктуры до 2030 года;</w:t>
      </w:r>
    </w:p>
    <w:p w:rsidR="004B476B" w:rsidRPr="00F911F8" w:rsidRDefault="004B476B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 xml:space="preserve">, которые предусмотрены государственными и муниципальными программами, </w:t>
      </w:r>
      <w:hyperlink r:id="rId8" w:tooltip="Решение Думы Нижневартовского района от 15.10.2014 N 561 &quot;О стратегии социально-экономического развития Нижневартовского района до 2020 года и на период до 2030 года&quot;{КонсультантПлюс}" w:history="1">
        <w:r w:rsidRPr="00F911F8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F911F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 и </w:t>
      </w:r>
      <w:hyperlink r:id="rId9" w:tooltip="Решение Думы Нижневартовского района от 15.10.2014 N 561 &quot;О стратегии социально-экономического развития Нижневартовского района до 2020 года и на период до 2030 года&quot;{КонсультантПлюс}" w:history="1">
        <w:r w:rsidRPr="00F911F8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F911F8">
        <w:rPr>
          <w:rFonts w:ascii="Times New Roman" w:hAnsi="Times New Roman" w:cs="Times New Roman"/>
          <w:sz w:val="28"/>
          <w:szCs w:val="28"/>
        </w:rPr>
        <w:t xml:space="preserve"> мероприятий по реализации </w:t>
      </w:r>
      <w:hyperlink r:id="rId10" w:tooltip="Решение Думы Нижневартовского района от 15.10.2014 N 561 &quot;О стратегии социально-экономического развития Нижневартовского района до 2020 года и на период до 2030 года&quot;{КонсультантПлюс}" w:history="1">
        <w:r w:rsidRPr="00F911F8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F911F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района, планом и </w:t>
      </w:r>
      <w:hyperlink r:id="rId11" w:tooltip="Решение Думы Нижневартовского района от 14.05.2008 N 41 &quot;Об утверждении &quot;Комплексной программы социально-экономического развития Нижневартовского района на 2007 - 2017 годы&quot;{КонсультантПлюс}" w:history="1">
        <w:r w:rsidRPr="00F911F8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F911F8">
        <w:rPr>
          <w:rFonts w:ascii="Times New Roman" w:hAnsi="Times New Roman" w:cs="Times New Roman"/>
          <w:sz w:val="28"/>
          <w:szCs w:val="28"/>
        </w:rPr>
        <w:t xml:space="preserve"> комплексного социально-экономического развития муниципального района,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>;</w:t>
      </w:r>
    </w:p>
    <w:p w:rsidR="004B476B" w:rsidRPr="00F911F8" w:rsidRDefault="004B476B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оценка объемов и источников финансирования мероприятий по проектированию, строительству, реконструкции объектов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>;</w:t>
      </w:r>
    </w:p>
    <w:p w:rsidR="004B476B" w:rsidRPr="00F911F8" w:rsidRDefault="004B476B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оценка эффективности реализации мероприятий и соответствия нормативам </w:t>
      </w:r>
      <w:r w:rsidRPr="00F911F8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>;</w:t>
      </w:r>
    </w:p>
    <w:p w:rsidR="004B476B" w:rsidRPr="00F911F8" w:rsidRDefault="004B476B" w:rsidP="00F9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предложения по совершенствованию нормативно-правового и информационного обеспечения развития социальной инфраструктуры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>;</w:t>
      </w:r>
    </w:p>
    <w:p w:rsidR="004B476B" w:rsidRPr="00F911F8" w:rsidRDefault="004B476B" w:rsidP="00F911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-  предложения по повышению доступности среды для маломобильных групп населения поселени</w:t>
      </w:r>
      <w:r w:rsidR="00CE0EB1" w:rsidRPr="00F911F8">
        <w:rPr>
          <w:rFonts w:ascii="Times New Roman" w:hAnsi="Times New Roman" w:cs="Times New Roman"/>
          <w:sz w:val="28"/>
          <w:szCs w:val="28"/>
        </w:rPr>
        <w:t>й</w:t>
      </w:r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76B" w:rsidRPr="00F911F8" w:rsidRDefault="004B476B" w:rsidP="00F911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6AC" w:rsidRPr="00F911F8" w:rsidRDefault="00D546AC" w:rsidP="00F911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В 2016 году система образования </w:t>
      </w:r>
      <w:r w:rsidR="00E227AA" w:rsidRPr="00F91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27AA" w:rsidRPr="00F911F8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E227AA" w:rsidRPr="00F911F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911F8">
        <w:rPr>
          <w:rFonts w:ascii="Times New Roman" w:hAnsi="Times New Roman" w:cs="Times New Roman"/>
          <w:sz w:val="28"/>
          <w:szCs w:val="28"/>
        </w:rPr>
        <w:t>представлена 25 учреждениями, в том числе: 6 дошкольных образовательных учреждений, 18 школ (в 10 из которых реализуются программы дошкольного образования) и 1 учреждение дополнительного образования детей.</w:t>
      </w:r>
      <w:r w:rsidRPr="00F911F8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Все общеобразовательные учреждения работают в одну смену.</w:t>
      </w:r>
    </w:p>
    <w:p w:rsidR="00D546AC" w:rsidRPr="00F911F8" w:rsidRDefault="00D546AC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color w:val="000000"/>
          <w:sz w:val="28"/>
          <w:szCs w:val="28"/>
        </w:rPr>
        <w:t>Общее количество обучающихся на начало 2016/2017 учебного года</w:t>
      </w:r>
      <w:r w:rsidRPr="00F911F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="00E227AA" w:rsidRPr="00F911F8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 3 836 человек</w:t>
      </w:r>
      <w:r w:rsidRPr="00F911F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(ханты, ненцы, манси – 507 человека, из них 440- ханты, 8 – манси, 59- ненцы 13%),</w:t>
      </w:r>
      <w:r w:rsidRPr="00F911F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что на</w:t>
      </w:r>
      <w:r w:rsidRPr="00F911F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37 человек больше, чем в прошлом учебном году (2015/2016 учебный год – 3 799 человек, 2014/2015 – 3 745, 2013/2014 – 3 721).</w:t>
      </w:r>
    </w:p>
    <w:p w:rsidR="00D546AC" w:rsidRPr="00F911F8" w:rsidRDefault="00D546AC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 </w:t>
      </w:r>
      <w:r w:rsidR="00586CB9" w:rsidRPr="00F911F8">
        <w:rPr>
          <w:rFonts w:ascii="Times New Roman" w:hAnsi="Times New Roman" w:cs="Times New Roman"/>
          <w:color w:val="000000"/>
          <w:sz w:val="28"/>
          <w:szCs w:val="28"/>
        </w:rPr>
        <w:t>открыто 254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 классов-комплектов, из них 11 в вечерних школах (2015/2016 учебный год – 253 классов-комплектов (13 – в вечерних школах), 2014/2015 – 249 (17 – в вечерних школах), 2013/2014 – 246 (17 – в вечерних школах)), 1 кадетский класс в муниципальном бюджетном образовательном учреждении «</w:t>
      </w:r>
      <w:proofErr w:type="spellStart"/>
      <w:r w:rsidRPr="00F911F8">
        <w:rPr>
          <w:rFonts w:ascii="Times New Roman" w:hAnsi="Times New Roman" w:cs="Times New Roman"/>
          <w:color w:val="000000"/>
          <w:sz w:val="28"/>
          <w:szCs w:val="28"/>
        </w:rPr>
        <w:t>Новоаганская</w:t>
      </w:r>
      <w:proofErr w:type="spellEnd"/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средняя школа №</w:t>
      </w:r>
      <w:proofErr w:type="gramStart"/>
      <w:r w:rsidRPr="00F911F8">
        <w:rPr>
          <w:rFonts w:ascii="Times New Roman" w:hAnsi="Times New Roman" w:cs="Times New Roman"/>
          <w:color w:val="000000"/>
          <w:sz w:val="28"/>
          <w:szCs w:val="28"/>
        </w:rPr>
        <w:t>1»  (</w:t>
      </w:r>
      <w:proofErr w:type="gramEnd"/>
      <w:r w:rsidRPr="00F911F8">
        <w:rPr>
          <w:rFonts w:ascii="Times New Roman" w:hAnsi="Times New Roman" w:cs="Times New Roman"/>
          <w:color w:val="000000"/>
          <w:sz w:val="28"/>
          <w:szCs w:val="28"/>
        </w:rPr>
        <w:t>6 класс, 22 человек).</w:t>
      </w:r>
    </w:p>
    <w:p w:rsidR="00D546AC" w:rsidRPr="00F911F8" w:rsidRDefault="00D546AC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color w:val="000000"/>
          <w:sz w:val="28"/>
          <w:szCs w:val="28"/>
        </w:rPr>
        <w:t>По сравнению с 2015/2016 учебным годом в текущем учебном году отмечается увеличение количества классов-комплектов на 1 единицу в связи с увеличением числа обучающихся.</w:t>
      </w:r>
    </w:p>
    <w:p w:rsidR="00D546AC" w:rsidRPr="00F911F8" w:rsidRDefault="00D546AC" w:rsidP="00F911F8">
      <w:pPr>
        <w:pStyle w:val="a9"/>
        <w:spacing w:after="0"/>
        <w:ind w:left="0" w:right="57" w:firstLine="708"/>
        <w:jc w:val="both"/>
        <w:rPr>
          <w:color w:val="000000"/>
          <w:lang w:val="ru-RU"/>
        </w:rPr>
      </w:pPr>
      <w:r w:rsidRPr="00F911F8">
        <w:rPr>
          <w:color w:val="000000"/>
          <w:lang w:val="ru-RU"/>
        </w:rPr>
        <w:t>Д</w:t>
      </w:r>
      <w:proofErr w:type="spellStart"/>
      <w:r w:rsidRPr="00F911F8">
        <w:rPr>
          <w:color w:val="000000"/>
        </w:rPr>
        <w:t>ошкольным</w:t>
      </w:r>
      <w:proofErr w:type="spellEnd"/>
      <w:r w:rsidRPr="00F911F8">
        <w:rPr>
          <w:color w:val="000000"/>
        </w:rPr>
        <w:t xml:space="preserve"> образованием охвачено 2 147 детей (2015/2016 учебный год – 2 083, 2014/2015 – 1 775), что на 64 ребенка больше, чем в предыдущем году. Открыто 110 групп (2015/2016 учебный год – 107, 2014/2015 учебный год – 90), в том числе 17 групп кратковременного пребывания с охватом 193  дошкольников (2015/2016 учебный год –14 групп, 149 детей). </w:t>
      </w:r>
    </w:p>
    <w:p w:rsidR="00D546AC" w:rsidRPr="00F911F8" w:rsidRDefault="00D546AC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дошкольного образования реализуются в 16 образовательных учреждениях, открыто 110 </w:t>
      </w:r>
      <w:r w:rsidR="009E52F3" w:rsidRPr="00F911F8">
        <w:rPr>
          <w:rFonts w:ascii="Times New Roman" w:hAnsi="Times New Roman" w:cs="Times New Roman"/>
          <w:color w:val="000000"/>
          <w:sz w:val="28"/>
          <w:szCs w:val="28"/>
        </w:rPr>
        <w:t>групп (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F911F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110 групп), из </w:t>
      </w:r>
      <w:proofErr w:type="gramStart"/>
      <w:r w:rsidRPr="00F911F8">
        <w:rPr>
          <w:rFonts w:ascii="Times New Roman" w:hAnsi="Times New Roman" w:cs="Times New Roman"/>
          <w:color w:val="000000"/>
          <w:sz w:val="28"/>
          <w:szCs w:val="28"/>
        </w:rPr>
        <w:t>них  95</w:t>
      </w:r>
      <w:proofErr w:type="gramEnd"/>
      <w:r w:rsidRPr="00F911F8">
        <w:rPr>
          <w:rFonts w:ascii="Times New Roman" w:hAnsi="Times New Roman" w:cs="Times New Roman"/>
          <w:color w:val="000000"/>
          <w:sz w:val="28"/>
          <w:szCs w:val="28"/>
        </w:rPr>
        <w:t xml:space="preserve"> групп общеразвивающей, 5</w:t>
      </w:r>
      <w:r w:rsidRPr="00F911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оздоровительной, 10</w:t>
      </w:r>
      <w:r w:rsidRPr="00F911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911F8">
        <w:rPr>
          <w:rFonts w:ascii="Times New Roman" w:hAnsi="Times New Roman" w:cs="Times New Roman"/>
          <w:color w:val="000000"/>
          <w:sz w:val="28"/>
          <w:szCs w:val="28"/>
        </w:rPr>
        <w:t>комбинированной направленности, действует 17 групп кратковременного пребывания с охватом 300 детей. Из общего числа групп 18 являются разновозрастными группами, 35 – для детей раннего возраста.</w:t>
      </w:r>
    </w:p>
    <w:p w:rsidR="00D546AC" w:rsidRPr="00F911F8" w:rsidRDefault="00D546AC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Очередности в дошкольные образовательные учреждения в 2016/2017 учебном году не имеется.</w:t>
      </w:r>
    </w:p>
    <w:p w:rsidR="00D546AC" w:rsidRPr="00F911F8" w:rsidRDefault="00D546AC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Учитывая возросшую потребность в образовательных услугах детей с ограниченными возможностями здоровья, в 2016/2017 учебном году открыты 7 специальных (коррекционных) </w:t>
      </w:r>
      <w:r w:rsidR="00506D1D" w:rsidRPr="00F911F8">
        <w:rPr>
          <w:rFonts w:ascii="Times New Roman" w:hAnsi="Times New Roman" w:cs="Times New Roman"/>
          <w:sz w:val="28"/>
          <w:szCs w:val="28"/>
        </w:rPr>
        <w:t>«</w:t>
      </w:r>
      <w:r w:rsidRPr="00F911F8">
        <w:rPr>
          <w:rFonts w:ascii="Times New Roman" w:hAnsi="Times New Roman" w:cs="Times New Roman"/>
          <w:sz w:val="28"/>
          <w:szCs w:val="28"/>
        </w:rPr>
        <w:t>класс 8 вида</w:t>
      </w:r>
      <w:r w:rsidR="00506D1D" w:rsidRPr="00F911F8">
        <w:rPr>
          <w:rFonts w:ascii="Times New Roman" w:hAnsi="Times New Roman" w:cs="Times New Roman"/>
          <w:sz w:val="28"/>
          <w:szCs w:val="28"/>
        </w:rPr>
        <w:t xml:space="preserve"> коррекции»</w:t>
      </w:r>
      <w:r w:rsidRPr="00F911F8">
        <w:rPr>
          <w:rFonts w:ascii="Times New Roman" w:hAnsi="Times New Roman" w:cs="Times New Roman"/>
          <w:sz w:val="28"/>
          <w:szCs w:val="28"/>
        </w:rPr>
        <w:t>.</w:t>
      </w:r>
    </w:p>
    <w:p w:rsidR="00D546AC" w:rsidRPr="00F911F8" w:rsidRDefault="00D546AC" w:rsidP="00F911F8">
      <w:pPr>
        <w:pStyle w:val="a9"/>
        <w:spacing w:after="0"/>
        <w:ind w:left="0" w:right="57" w:firstLine="708"/>
        <w:jc w:val="both"/>
        <w:rPr>
          <w:lang w:val="ru-RU"/>
        </w:rPr>
      </w:pPr>
      <w:r w:rsidRPr="00F911F8">
        <w:t xml:space="preserve">В 2016/2017 учебном году обучается 39 </w:t>
      </w:r>
      <w:r w:rsidRPr="00F911F8">
        <w:rPr>
          <w:lang w:val="ru-RU"/>
        </w:rPr>
        <w:t>детей</w:t>
      </w:r>
      <w:r w:rsidRPr="00F911F8">
        <w:t>-инвалид</w:t>
      </w:r>
      <w:r w:rsidRPr="00F911F8">
        <w:rPr>
          <w:lang w:val="ru-RU"/>
        </w:rPr>
        <w:t>ов</w:t>
      </w:r>
      <w:r w:rsidRPr="00F911F8">
        <w:t xml:space="preserve">, в том числе 4 воспитанников дошкольных образовательных учреждений (2015/2016 </w:t>
      </w:r>
      <w:r w:rsidRPr="00F911F8">
        <w:lastRenderedPageBreak/>
        <w:t>учебный год – 41, 2014/2015  –30, 2013/2014 – 27), из них 12 детей обучаются на дому по индивидуальным учебным планам, в том числе 2 ребёнка обучаются с использованием дистанционных технологий (в муниципальном бюджетном общеобразовательном учреждении «</w:t>
      </w:r>
      <w:proofErr w:type="spellStart"/>
      <w:r w:rsidRPr="00F911F8">
        <w:t>Излучинская</w:t>
      </w:r>
      <w:proofErr w:type="spellEnd"/>
      <w:r w:rsidRPr="00F911F8">
        <w:t xml:space="preserve"> общеобразовательная средняя школа №1 с углубленным изучением отдельных предметов» - 1 чел.</w:t>
      </w:r>
      <w:r w:rsidRPr="00F911F8">
        <w:rPr>
          <w:lang w:val="ru-RU"/>
        </w:rPr>
        <w:t>)</w:t>
      </w:r>
      <w:r w:rsidRPr="00F911F8">
        <w:t>.</w:t>
      </w:r>
    </w:p>
    <w:p w:rsidR="00D546AC" w:rsidRPr="00F911F8" w:rsidRDefault="00D546AC" w:rsidP="00F911F8">
      <w:pPr>
        <w:pStyle w:val="a9"/>
        <w:spacing w:after="0"/>
        <w:ind w:left="0" w:right="57" w:firstLine="708"/>
        <w:jc w:val="both"/>
      </w:pPr>
      <w:r w:rsidRPr="00F911F8">
        <w:rPr>
          <w:lang w:val="ru-RU"/>
        </w:rPr>
        <w:t>О</w:t>
      </w:r>
      <w:proofErr w:type="spellStart"/>
      <w:r w:rsidR="009E52F3" w:rsidRPr="00F911F8">
        <w:t>ткрыто</w:t>
      </w:r>
      <w:proofErr w:type="spellEnd"/>
      <w:r w:rsidRPr="00F911F8">
        <w:t xml:space="preserve"> 19 групп продленного </w:t>
      </w:r>
      <w:proofErr w:type="gramStart"/>
      <w:r w:rsidRPr="00F911F8">
        <w:t>дня  для</w:t>
      </w:r>
      <w:proofErr w:type="gramEnd"/>
      <w:r w:rsidRPr="00F911F8">
        <w:t xml:space="preserve"> 414 обучающихся (меньше на 141 человек, 2015/2016 учебном году 23 группы, 555 обучающихся, 2014/2015 – 16 групп, 369 обучающихся, 2013/2014 – 24 группы, 541 обучающийся).</w:t>
      </w:r>
    </w:p>
    <w:p w:rsidR="00D546AC" w:rsidRPr="00F911F8" w:rsidRDefault="00D546AC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F8">
        <w:rPr>
          <w:rFonts w:ascii="Times New Roman" w:hAnsi="Times New Roman" w:cs="Times New Roman"/>
          <w:color w:val="000000"/>
          <w:sz w:val="28"/>
          <w:szCs w:val="28"/>
        </w:rPr>
        <w:t>Численность обучающихся в центрах дополнительного образования детей в 2016/2017 учебном году составляет 4 567 человек (2015/2016 учебный год – 4563 человек, 2014/2015 – 4 652).</w:t>
      </w:r>
    </w:p>
    <w:p w:rsidR="00D546AC" w:rsidRPr="00F911F8" w:rsidRDefault="00D546AC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В школах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района сложилась система, обеспечивающая качественное общее образование для всех обучающихся.</w:t>
      </w:r>
    </w:p>
    <w:p w:rsidR="00D546AC" w:rsidRPr="00F911F8" w:rsidRDefault="00D546AC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Приоритетные направления деятельности учреждения выстроены в соответствии с задачами, определенными нормативными документами федерального, регионального и муниципального уровней в сфере образования, муниципальной программой «Развитие образования в Нижневартовском районе на 2014 – 2020 годы».</w:t>
      </w:r>
    </w:p>
    <w:p w:rsidR="00D546AC" w:rsidRPr="00F911F8" w:rsidRDefault="0041689A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В 2016 году о</w:t>
      </w:r>
      <w:r w:rsidR="00D546AC" w:rsidRPr="00F911F8">
        <w:rPr>
          <w:rFonts w:ascii="Times New Roman" w:hAnsi="Times New Roman" w:cs="Times New Roman"/>
          <w:sz w:val="28"/>
          <w:szCs w:val="28"/>
        </w:rPr>
        <w:t xml:space="preserve">бразовательная система </w:t>
      </w:r>
      <w:proofErr w:type="spellStart"/>
      <w:r w:rsidR="00D546AC"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D546AC" w:rsidRPr="00F911F8">
        <w:rPr>
          <w:rFonts w:ascii="Times New Roman" w:hAnsi="Times New Roman" w:cs="Times New Roman"/>
          <w:sz w:val="28"/>
          <w:szCs w:val="28"/>
        </w:rPr>
        <w:t xml:space="preserve"> района обеспечила стабильное функционирование, позволившее достичь социальных эффектов в области образования:</w:t>
      </w:r>
    </w:p>
    <w:p w:rsidR="00D546AC" w:rsidRPr="00F911F8" w:rsidRDefault="00D546AC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обеспечены: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sz w:val="28"/>
          <w:szCs w:val="28"/>
        </w:rPr>
        <w:t xml:space="preserve">100% доступность дошкольного образования для детей в возрасте от 3 до 7 лет; 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sz w:val="28"/>
          <w:szCs w:val="28"/>
        </w:rPr>
        <w:t xml:space="preserve">повышение качества общего образования, в том числе увеличение общей численности победителей и призеров Всероссийской олимпиады школьников;  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sz w:val="28"/>
          <w:szCs w:val="28"/>
        </w:rPr>
        <w:t>сохранены высокие показатели охвата детей и подростков дополнительным образованием (97,3%);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sz w:val="28"/>
          <w:szCs w:val="28"/>
        </w:rPr>
        <w:t>созданы безопасные условия образовательного процесса в 100% образовательных учреждениях;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sz w:val="28"/>
          <w:szCs w:val="28"/>
        </w:rPr>
        <w:t>обеспечение обучения по новым стандартам начального общего образования 100% обучающихся 1-5-х классов;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sz w:val="28"/>
          <w:szCs w:val="28"/>
        </w:rPr>
        <w:t xml:space="preserve">увеличение доли учреждений, соответствующих современным требованиям обучения, за счет реализации мероприятий программы «Развитие образования </w:t>
      </w:r>
      <w:proofErr w:type="spellStart"/>
      <w:r w:rsidR="00D546AC" w:rsidRPr="00F911F8">
        <w:rPr>
          <w:rFonts w:ascii="Times New Roman" w:hAnsi="Times New Roman" w:cs="Times New Roman"/>
          <w:sz w:val="28"/>
          <w:szCs w:val="28"/>
        </w:rPr>
        <w:t>вНижневартовском</w:t>
      </w:r>
      <w:proofErr w:type="spellEnd"/>
      <w:r w:rsidR="00D546AC" w:rsidRPr="00F911F8">
        <w:rPr>
          <w:rFonts w:ascii="Times New Roman" w:hAnsi="Times New Roman" w:cs="Times New Roman"/>
          <w:sz w:val="28"/>
          <w:szCs w:val="28"/>
        </w:rPr>
        <w:t xml:space="preserve"> районе на 2014-2020 годы», оснащения общеобразовательных учреждений современными средствами обучения с 89,0% до 89,8%;</w:t>
      </w:r>
    </w:p>
    <w:p w:rsidR="00D546AC" w:rsidRPr="00F911F8" w:rsidRDefault="00F23E31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1F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46AC" w:rsidRPr="00F911F8">
        <w:rPr>
          <w:rFonts w:ascii="Times New Roman" w:hAnsi="Times New Roman" w:cs="Times New Roman"/>
          <w:bCs/>
          <w:sz w:val="28"/>
          <w:szCs w:val="28"/>
        </w:rPr>
        <w:t>обеспечение обучения всех учащихся в одну смену</w:t>
      </w:r>
      <w:r w:rsidR="00D546AC" w:rsidRPr="00F911F8">
        <w:rPr>
          <w:rFonts w:ascii="Times New Roman" w:hAnsi="Times New Roman" w:cs="Times New Roman"/>
          <w:sz w:val="28"/>
          <w:szCs w:val="28"/>
        </w:rPr>
        <w:t>.</w:t>
      </w:r>
    </w:p>
    <w:p w:rsidR="00D546AC" w:rsidRPr="00F911F8" w:rsidRDefault="00D546AC" w:rsidP="00F91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по результатам муниципального социологического опроса.  В целом, по району доля родителей, удовлетворенных качеством услуг, предоставляемых муниципальными </w:t>
      </w:r>
      <w:r w:rsidRPr="00F911F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учреждениями района, в 2016 году составляет </w:t>
      </w:r>
      <w:r w:rsidRPr="00F911F8">
        <w:rPr>
          <w:rFonts w:ascii="Times New Roman" w:hAnsi="Times New Roman" w:cs="Times New Roman"/>
          <w:bCs/>
          <w:sz w:val="28"/>
          <w:szCs w:val="28"/>
        </w:rPr>
        <w:t>97,2</w:t>
      </w:r>
      <w:r w:rsidRPr="00F911F8">
        <w:rPr>
          <w:rFonts w:ascii="Times New Roman" w:hAnsi="Times New Roman" w:cs="Times New Roman"/>
          <w:sz w:val="28"/>
          <w:szCs w:val="28"/>
        </w:rPr>
        <w:t>% (в 2015 году-95,9 %, в 2014 – 94,8%, в 2013 – 93%).</w:t>
      </w:r>
    </w:p>
    <w:p w:rsidR="00D546AC" w:rsidRPr="00F911F8" w:rsidRDefault="00D546AC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Таким образом</w:t>
      </w:r>
      <w:r w:rsidR="000D3714" w:rsidRPr="00F911F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F911F8">
        <w:rPr>
          <w:rFonts w:ascii="Times New Roman" w:hAnsi="Times New Roman" w:cs="Times New Roman"/>
          <w:sz w:val="28"/>
          <w:szCs w:val="28"/>
        </w:rPr>
        <w:t xml:space="preserve">, во всех образовательных учреждениях района созданы условия, отвечающие современным требованиям к осуществлению образовательного процесса, позволяющие обеспечить предоставление качественного общего образования на всех уровнях (дошкольное, начальное, основное, среднее), а также дополнительного образования детей. </w:t>
      </w:r>
    </w:p>
    <w:p w:rsidR="00D546AC" w:rsidRPr="00F911F8" w:rsidRDefault="00D546AC" w:rsidP="00F911F8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района действуют 19 муниципальных учреждений культуры и искусства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 xml:space="preserve">(11 культурно-досуговых учреждений, 5 детских школ искусств, 2 музея). </w:t>
      </w:r>
    </w:p>
    <w:p w:rsidR="00F911F8" w:rsidRPr="00F911F8" w:rsidRDefault="00F911F8" w:rsidP="00F911F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В учреждениях культуры досугового типа действовало 201 формирование с количеством участников – 2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 xml:space="preserve">606 человек, в том числе для детей 79 формирований с количеством участников - 1158 человек. Коллективов художественной самодеятельности – 108, в них участников - 1214 человек, из них для </w:t>
      </w:r>
      <w:r w:rsidR="00ED6FC6" w:rsidRPr="00F911F8">
        <w:rPr>
          <w:rFonts w:ascii="Times New Roman" w:hAnsi="Times New Roman" w:cs="Times New Roman"/>
          <w:sz w:val="28"/>
          <w:szCs w:val="28"/>
        </w:rPr>
        <w:t>детей 48</w:t>
      </w:r>
      <w:r w:rsidRPr="00F911F8">
        <w:rPr>
          <w:rFonts w:ascii="Times New Roman" w:hAnsi="Times New Roman" w:cs="Times New Roman"/>
          <w:sz w:val="28"/>
          <w:szCs w:val="28"/>
        </w:rPr>
        <w:t xml:space="preserve"> коллективов, в них участников детей – </w:t>
      </w:r>
      <w:r w:rsidR="00ED6FC6" w:rsidRPr="00F911F8">
        <w:rPr>
          <w:rFonts w:ascii="Times New Roman" w:hAnsi="Times New Roman" w:cs="Times New Roman"/>
          <w:sz w:val="28"/>
          <w:szCs w:val="28"/>
        </w:rPr>
        <w:t>638 человек</w:t>
      </w:r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F8" w:rsidRPr="00F911F8" w:rsidRDefault="00F911F8" w:rsidP="00F9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ab/>
        <w:t>За отчётный период учреждениями культурно-досугового типа проведено: 7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258 мероприятий, количество присутствующих 288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990 человек, из них 3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955  мероприятий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  для детей, количество присутствующих детей  91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 xml:space="preserve">435   человек. Согласно «дорожной карты» доля прироста числа участников культурно-массовых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мероприятий  (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>в процентах по отношению к предыдущему году) - 11,2 %. Доля прироста мероприятий 6%. Рост формирований на 1%.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В сравнении с 2015 годом наблюдается рост:</w:t>
      </w:r>
    </w:p>
    <w:p w:rsidR="00F911F8" w:rsidRPr="00F911F8" w:rsidRDefault="00ED6FC6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="00F911F8" w:rsidRPr="00F911F8">
        <w:rPr>
          <w:rFonts w:ascii="Times New Roman" w:hAnsi="Times New Roman" w:cs="Times New Roman"/>
          <w:sz w:val="28"/>
          <w:szCs w:val="28"/>
        </w:rPr>
        <w:t>проводимых  учреждениями</w:t>
      </w:r>
      <w:proofErr w:type="gramEnd"/>
      <w:r w:rsidR="00F911F8" w:rsidRPr="00F911F8">
        <w:rPr>
          <w:rFonts w:ascii="Times New Roman" w:hAnsi="Times New Roman" w:cs="Times New Roman"/>
          <w:sz w:val="28"/>
          <w:szCs w:val="28"/>
        </w:rPr>
        <w:t xml:space="preserve"> культуры мероприятий на 6 %, </w:t>
      </w:r>
    </w:p>
    <w:p w:rsidR="00F911F8" w:rsidRPr="00F911F8" w:rsidRDefault="00ED6FC6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 количества присутствующих зрителей на культурно – досуговых </w:t>
      </w:r>
      <w:proofErr w:type="gramStart"/>
      <w:r w:rsidR="00F911F8" w:rsidRPr="00F911F8">
        <w:rPr>
          <w:rFonts w:ascii="Times New Roman" w:hAnsi="Times New Roman" w:cs="Times New Roman"/>
          <w:sz w:val="28"/>
          <w:szCs w:val="28"/>
        </w:rPr>
        <w:t>мероприятиях  на</w:t>
      </w:r>
      <w:proofErr w:type="gramEnd"/>
      <w:r w:rsidR="00F911F8" w:rsidRPr="00F911F8">
        <w:rPr>
          <w:rFonts w:ascii="Times New Roman" w:hAnsi="Times New Roman" w:cs="Times New Roman"/>
          <w:sz w:val="28"/>
          <w:szCs w:val="28"/>
        </w:rPr>
        <w:t xml:space="preserve"> 11,2 %,</w:t>
      </w:r>
    </w:p>
    <w:p w:rsidR="00F911F8" w:rsidRPr="00F911F8" w:rsidRDefault="00ED6FC6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>количества кинозрителей на 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 Все общедоступные библиотеки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района имеют широкополосный доступ к сети Интернет, доля общедоступных библиотек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района, имеющих центры общественного доступа к электронным фондам (компьютерные аудитории) составляет 100 % (19 общедоступных библиотек района).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составил  86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>,4%</w:t>
      </w:r>
      <w:r w:rsidR="00ED6FC6">
        <w:rPr>
          <w:rFonts w:ascii="Times New Roman" w:hAnsi="Times New Roman" w:cs="Times New Roman"/>
          <w:sz w:val="28"/>
          <w:szCs w:val="28"/>
        </w:rPr>
        <w:t>.</w:t>
      </w:r>
      <w:r w:rsidRPr="00F9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 библиотеками составил 114,5%</w:t>
      </w:r>
      <w:r w:rsidR="00ED6FC6">
        <w:rPr>
          <w:rFonts w:ascii="Times New Roman" w:hAnsi="Times New Roman" w:cs="Times New Roman"/>
          <w:sz w:val="28"/>
          <w:szCs w:val="28"/>
        </w:rPr>
        <w:t>.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50%.</w:t>
      </w:r>
    </w:p>
    <w:p w:rsidR="00F911F8" w:rsidRPr="00F911F8" w:rsidRDefault="00F911F8" w:rsidP="00F9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lastRenderedPageBreak/>
        <w:t xml:space="preserve"> Показатели </w:t>
      </w:r>
      <w:r w:rsidR="00ED6FC6" w:rsidRPr="00F911F8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911F8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на 2016 год, характеризующие качество и объём оказания муниципальной услуги остаются стабильными.</w:t>
      </w:r>
    </w:p>
    <w:p w:rsidR="00F911F8" w:rsidRPr="00F911F8" w:rsidRDefault="00F911F8" w:rsidP="00F911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FC6">
        <w:rPr>
          <w:rFonts w:ascii="Times New Roman" w:hAnsi="Times New Roman" w:cs="Times New Roman"/>
          <w:sz w:val="28"/>
          <w:szCs w:val="28"/>
        </w:rPr>
        <w:t>П</w:t>
      </w:r>
      <w:r w:rsidRPr="00F911F8">
        <w:rPr>
          <w:rFonts w:ascii="Times New Roman" w:hAnsi="Times New Roman" w:cs="Times New Roman"/>
          <w:sz w:val="28"/>
          <w:szCs w:val="28"/>
        </w:rPr>
        <w:t>о показателю «Количество зарегистрированных пользователей библиотек» – 17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810 человек (2015 г. – 17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806 человек) что на 4 человека больше, в том числе по количеству пользователей до 14 лет – 7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047 детей (2015 г. 6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963 человека), что на 1,5 % больше.</w:t>
      </w:r>
    </w:p>
    <w:p w:rsidR="00F911F8" w:rsidRPr="00F911F8" w:rsidRDefault="00F911F8" w:rsidP="00F911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FC6">
        <w:rPr>
          <w:rFonts w:ascii="Times New Roman" w:hAnsi="Times New Roman" w:cs="Times New Roman"/>
          <w:sz w:val="28"/>
          <w:szCs w:val="28"/>
        </w:rPr>
        <w:t>П</w:t>
      </w:r>
      <w:r w:rsidRPr="00F911F8">
        <w:rPr>
          <w:rFonts w:ascii="Times New Roman" w:hAnsi="Times New Roman" w:cs="Times New Roman"/>
          <w:sz w:val="28"/>
          <w:szCs w:val="28"/>
        </w:rPr>
        <w:t>о показателю «Количество удалённых пользователей сайта МАУ «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библиотека» — на 204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%,  (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>2016 г. – 88891, 2015 – 43502)</w:t>
      </w:r>
    </w:p>
    <w:p w:rsidR="00F911F8" w:rsidRPr="00F911F8" w:rsidRDefault="00F911F8" w:rsidP="00F911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FC6">
        <w:rPr>
          <w:rFonts w:ascii="Times New Roman" w:hAnsi="Times New Roman" w:cs="Times New Roman"/>
          <w:sz w:val="28"/>
          <w:szCs w:val="28"/>
        </w:rPr>
        <w:t>П</w:t>
      </w:r>
      <w:r w:rsidRPr="00F911F8">
        <w:rPr>
          <w:rFonts w:ascii="Times New Roman" w:hAnsi="Times New Roman" w:cs="Times New Roman"/>
          <w:sz w:val="28"/>
          <w:szCs w:val="28"/>
        </w:rPr>
        <w:t>о показателю «Количество посещений общедоступных библиотек» — 152</w:t>
      </w:r>
      <w:r w:rsidR="00ED6FC6">
        <w:rPr>
          <w:rFonts w:ascii="Times New Roman" w:hAnsi="Times New Roman" w:cs="Times New Roman"/>
          <w:sz w:val="28"/>
          <w:szCs w:val="28"/>
        </w:rPr>
        <w:t> </w:t>
      </w:r>
      <w:r w:rsidRPr="00F911F8">
        <w:rPr>
          <w:rFonts w:ascii="Times New Roman" w:hAnsi="Times New Roman" w:cs="Times New Roman"/>
          <w:sz w:val="28"/>
          <w:szCs w:val="28"/>
        </w:rPr>
        <w:t>316</w:t>
      </w:r>
      <w:r w:rsidR="00ED6FC6">
        <w:rPr>
          <w:rFonts w:ascii="Times New Roman" w:hAnsi="Times New Roman" w:cs="Times New Roman"/>
          <w:sz w:val="28"/>
          <w:szCs w:val="28"/>
        </w:rPr>
        <w:t>человек</w:t>
      </w:r>
      <w:r w:rsidRPr="00F911F8">
        <w:rPr>
          <w:rFonts w:ascii="Times New Roman" w:hAnsi="Times New Roman" w:cs="Times New Roman"/>
          <w:sz w:val="28"/>
          <w:szCs w:val="28"/>
        </w:rPr>
        <w:t xml:space="preserve"> (в 2015 г. – 151</w:t>
      </w:r>
      <w:r w:rsidR="00ED6FC6">
        <w:rPr>
          <w:rFonts w:ascii="Times New Roman" w:hAnsi="Times New Roman" w:cs="Times New Roman"/>
          <w:sz w:val="28"/>
          <w:szCs w:val="28"/>
        </w:rPr>
        <w:t> </w:t>
      </w:r>
      <w:r w:rsidRPr="00F911F8">
        <w:rPr>
          <w:rFonts w:ascii="Times New Roman" w:hAnsi="Times New Roman" w:cs="Times New Roman"/>
          <w:sz w:val="28"/>
          <w:szCs w:val="28"/>
        </w:rPr>
        <w:t>238</w:t>
      </w:r>
      <w:r w:rsidR="00ED6F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911F8">
        <w:rPr>
          <w:rFonts w:ascii="Times New Roman" w:hAnsi="Times New Roman" w:cs="Times New Roman"/>
          <w:sz w:val="28"/>
          <w:szCs w:val="28"/>
        </w:rPr>
        <w:t>)</w:t>
      </w:r>
      <w:r w:rsidR="00ED6FC6">
        <w:rPr>
          <w:rFonts w:ascii="Times New Roman" w:hAnsi="Times New Roman" w:cs="Times New Roman"/>
          <w:sz w:val="28"/>
          <w:szCs w:val="28"/>
        </w:rPr>
        <w:t>.</w:t>
      </w:r>
    </w:p>
    <w:p w:rsidR="00F911F8" w:rsidRPr="00F911F8" w:rsidRDefault="00F911F8" w:rsidP="00F911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FC6">
        <w:rPr>
          <w:rFonts w:ascii="Times New Roman" w:hAnsi="Times New Roman" w:cs="Times New Roman"/>
          <w:sz w:val="28"/>
          <w:szCs w:val="28"/>
        </w:rPr>
        <w:t>П</w:t>
      </w:r>
      <w:r w:rsidRPr="00F911F8">
        <w:rPr>
          <w:rFonts w:ascii="Times New Roman" w:hAnsi="Times New Roman" w:cs="Times New Roman"/>
          <w:sz w:val="28"/>
          <w:szCs w:val="28"/>
        </w:rPr>
        <w:t>о показателю «Количество исполненных запросов» - 436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019 экземпляров (2015 г. – 435</w:t>
      </w:r>
      <w:r w:rsidR="00ED6FC6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053 экземпляра), что 966 экземпляров больше.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В 2016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году  система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района обеспечила стабильное функционирование, позволившее достичь социальных эффектов:</w:t>
      </w:r>
    </w:p>
    <w:p w:rsidR="00ED6FC6" w:rsidRDefault="00ED6FC6" w:rsidP="00F91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11F8" w:rsidRPr="00F911F8">
        <w:rPr>
          <w:sz w:val="28"/>
          <w:szCs w:val="28"/>
        </w:rPr>
        <w:t>беспечены:</w:t>
      </w:r>
    </w:p>
    <w:p w:rsidR="00F911F8" w:rsidRPr="00F911F8" w:rsidRDefault="00ED6FC6" w:rsidP="00F91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1F8" w:rsidRPr="00F911F8">
        <w:rPr>
          <w:sz w:val="28"/>
          <w:szCs w:val="28"/>
        </w:rPr>
        <w:t xml:space="preserve">Доля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27,4% (1028 чел.). </w:t>
      </w:r>
    </w:p>
    <w:p w:rsidR="00F911F8" w:rsidRP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Охват дополнительным художественным образованием в районе остается стабильным на протяжении 3 лет и составляет 16,2 % (в автономном округе – 12,76%, по Российской Федерации – 12 %).</w:t>
      </w:r>
    </w:p>
    <w:p w:rsidR="00F911F8" w:rsidRPr="00F911F8" w:rsidRDefault="00F911F8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Изменилась к лучшему ситуация с предоставлением населению музейных предметов за счет роста объемов электронных ресурсов (электронных каталогов) и увеличения количества выставок как традиционной формы представления доступа к музейным собраниям.</w:t>
      </w:r>
    </w:p>
    <w:p w:rsidR="00F911F8" w:rsidRPr="00F911F8" w:rsidRDefault="00F911F8" w:rsidP="00F9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>Доля музейных предметов и музейных коллекций, отраженных в электронных каталогах, составила 90%, доля оцифрованных музейных предметов, представленных в сети Интернет, составила 85%.</w:t>
      </w:r>
    </w:p>
    <w:p w:rsidR="00F911F8" w:rsidRDefault="00F911F8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По итогам 2016 года количество выставочных проектов по отношению к 2015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году  составило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 0,7%, что свидетельствует  о сохранении музеями своих позиций в привлечении граждан к потреблению культурного продукта.</w:t>
      </w:r>
    </w:p>
    <w:p w:rsidR="00F5781D" w:rsidRPr="00F911F8" w:rsidRDefault="00F5781D" w:rsidP="00F9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1F8" w:rsidRPr="00F911F8" w:rsidRDefault="00F5781D" w:rsidP="00F911F8">
      <w:pPr>
        <w:suppressAutoHyphens/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proofErr w:type="spellStart"/>
      <w:r w:rsidR="00F911F8" w:rsidRPr="00F911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F911F8" w:rsidRPr="00F911F8">
        <w:rPr>
          <w:rFonts w:ascii="Times New Roman" w:hAnsi="Times New Roman" w:cs="Times New Roman"/>
          <w:sz w:val="28"/>
          <w:szCs w:val="28"/>
        </w:rPr>
        <w:t xml:space="preserve"> района функционируют 2 спортивные школы, численность занимающихся в детско-юношеских спортивных школах составляет 1 677 человек, что </w:t>
      </w:r>
      <w:proofErr w:type="gramStart"/>
      <w:r w:rsidR="00F911F8" w:rsidRPr="00F911F8">
        <w:rPr>
          <w:rFonts w:ascii="Times New Roman" w:hAnsi="Times New Roman" w:cs="Times New Roman"/>
          <w:sz w:val="28"/>
          <w:szCs w:val="28"/>
        </w:rPr>
        <w:t>составляет  28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 от общего количества жителей района в возрасте от 5 до 18 лет, численность занимающихся в спортивных школах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F911F8" w:rsidRPr="00F91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F8" w:rsidRPr="00F911F8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11F8" w:rsidRPr="00F911F8">
        <w:rPr>
          <w:rFonts w:ascii="Times New Roman" w:hAnsi="Times New Roman" w:cs="Times New Roman"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11F8" w:rsidRPr="00F911F8">
        <w:rPr>
          <w:rFonts w:ascii="Times New Roman" w:hAnsi="Times New Roman" w:cs="Times New Roman"/>
          <w:sz w:val="28"/>
          <w:szCs w:val="28"/>
        </w:rPr>
        <w:t>).</w:t>
      </w:r>
    </w:p>
    <w:p w:rsidR="00F911F8" w:rsidRPr="00F911F8" w:rsidRDefault="00F911F8" w:rsidP="00F911F8">
      <w:pPr>
        <w:pStyle w:val="a3"/>
        <w:tabs>
          <w:tab w:val="left" w:pos="567"/>
        </w:tabs>
        <w:suppressAutoHyphens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b/>
          <w:sz w:val="28"/>
          <w:szCs w:val="28"/>
        </w:rPr>
        <w:tab/>
      </w:r>
      <w:r w:rsidRPr="00F911F8">
        <w:rPr>
          <w:rFonts w:ascii="Times New Roman" w:hAnsi="Times New Roman" w:cs="Times New Roman"/>
          <w:sz w:val="28"/>
          <w:szCs w:val="28"/>
        </w:rPr>
        <w:t xml:space="preserve">В 2016 году реализован инвестиционный проект в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«Строительство крытого хоккейного корта в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», что позволило значительно улучшить материальную базу спортивных объектов для занятий </w:t>
      </w:r>
      <w:r w:rsidRPr="00F911F8">
        <w:rPr>
          <w:rFonts w:ascii="Times New Roman" w:hAnsi="Times New Roman" w:cs="Times New Roman"/>
          <w:sz w:val="28"/>
          <w:szCs w:val="28"/>
        </w:rPr>
        <w:lastRenderedPageBreak/>
        <w:t>зимними видами спорта, улучшить качество тренировочных занятий хоккеем на льду.</w:t>
      </w:r>
    </w:p>
    <w:p w:rsidR="00F911F8" w:rsidRPr="00F911F8" w:rsidRDefault="00F911F8" w:rsidP="00F911F8">
      <w:pPr>
        <w:pStyle w:val="a3"/>
        <w:tabs>
          <w:tab w:val="left" w:pos="567"/>
        </w:tabs>
        <w:suppressAutoHyphens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инвестиционного проекта «Строительство крытого хоккейного корта в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11F8">
        <w:rPr>
          <w:rFonts w:ascii="Times New Roman" w:hAnsi="Times New Roman" w:cs="Times New Roman"/>
          <w:sz w:val="28"/>
          <w:szCs w:val="28"/>
        </w:rPr>
        <w:t>Излучинск»составил</w:t>
      </w:r>
      <w:proofErr w:type="spellEnd"/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 412 177,9 тыс. рублей, в том числе: 161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991,0 – бюджет автономного округа; 250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186,9 тыс. рублей – бюджет района; 64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817,5 тыс. рублей – спонсорские средства. В 2016 году финансирование составило 184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808,5 тыс.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рублей; в том числе: 58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779,0 тыс.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рублей – бюджет автономного округа, 126029,5 тыс.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рублей – бюджет района;</w:t>
      </w:r>
    </w:p>
    <w:p w:rsidR="00F911F8" w:rsidRPr="00F911F8" w:rsidRDefault="00F911F8" w:rsidP="00F911F8">
      <w:pPr>
        <w:pStyle w:val="a3"/>
        <w:tabs>
          <w:tab w:val="left" w:pos="567"/>
        </w:tabs>
        <w:suppressAutoHyphens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b/>
          <w:sz w:val="28"/>
          <w:szCs w:val="28"/>
        </w:rPr>
        <w:tab/>
      </w:r>
      <w:r w:rsidRPr="00F911F8">
        <w:rPr>
          <w:rFonts w:ascii="Times New Roman" w:hAnsi="Times New Roman" w:cs="Times New Roman"/>
          <w:sz w:val="28"/>
          <w:szCs w:val="28"/>
        </w:rPr>
        <w:t xml:space="preserve">После реализации инвестиционного </w:t>
      </w:r>
      <w:proofErr w:type="gramStart"/>
      <w:r w:rsidRPr="00F911F8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Строительство крытого хоккейного корта в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» в районе появилась первая крытая ледовая площадка площадью 1800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>. Уровень обеспеченности населения поселка спортивными объектами увеличился на 25 чел./час</w:t>
      </w:r>
      <w:r w:rsidR="00F5781D">
        <w:rPr>
          <w:rFonts w:ascii="Times New Roman" w:hAnsi="Times New Roman" w:cs="Times New Roman"/>
          <w:sz w:val="28"/>
          <w:szCs w:val="28"/>
        </w:rPr>
        <w:t xml:space="preserve">. </w:t>
      </w:r>
      <w:r w:rsidRPr="00F911F8">
        <w:rPr>
          <w:rFonts w:ascii="Times New Roman" w:hAnsi="Times New Roman" w:cs="Times New Roman"/>
          <w:sz w:val="28"/>
          <w:szCs w:val="28"/>
        </w:rPr>
        <w:t>Единовременная пропускная способность объектов района в 2016 году составила 2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555 чел./час. (2015 год – 2</w:t>
      </w:r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F911F8">
        <w:rPr>
          <w:rFonts w:ascii="Times New Roman" w:hAnsi="Times New Roman" w:cs="Times New Roman"/>
          <w:sz w:val="28"/>
          <w:szCs w:val="28"/>
        </w:rPr>
        <w:t>530 чел./час)</w:t>
      </w:r>
      <w:r w:rsidR="00F5781D">
        <w:rPr>
          <w:rFonts w:ascii="Times New Roman" w:hAnsi="Times New Roman" w:cs="Times New Roman"/>
          <w:sz w:val="28"/>
          <w:szCs w:val="28"/>
        </w:rPr>
        <w:t>.</w:t>
      </w:r>
    </w:p>
    <w:p w:rsidR="00F911F8" w:rsidRPr="00F911F8" w:rsidRDefault="00F911F8" w:rsidP="00F911F8">
      <w:pPr>
        <w:pStyle w:val="a3"/>
        <w:tabs>
          <w:tab w:val="left" w:pos="567"/>
        </w:tabs>
        <w:suppressAutoHyphens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b/>
          <w:sz w:val="28"/>
          <w:szCs w:val="28"/>
        </w:rPr>
        <w:tab/>
      </w:r>
      <w:r w:rsidRPr="00F911F8">
        <w:rPr>
          <w:rFonts w:ascii="Times New Roman" w:hAnsi="Times New Roman" w:cs="Times New Roman"/>
          <w:sz w:val="28"/>
          <w:szCs w:val="28"/>
        </w:rPr>
        <w:t xml:space="preserve">Достигнутым показателем мероприятий программы комплексного развития за 2016 год является открытие в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1F8">
        <w:rPr>
          <w:rFonts w:ascii="Times New Roman" w:hAnsi="Times New Roman" w:cs="Times New Roman"/>
          <w:sz w:val="28"/>
          <w:szCs w:val="28"/>
        </w:rPr>
        <w:t>Излучинске</w:t>
      </w:r>
      <w:proofErr w:type="spellEnd"/>
      <w:r w:rsidRPr="00F911F8">
        <w:rPr>
          <w:rFonts w:ascii="Times New Roman" w:hAnsi="Times New Roman" w:cs="Times New Roman"/>
          <w:sz w:val="28"/>
          <w:szCs w:val="28"/>
        </w:rPr>
        <w:t xml:space="preserve"> «Строительство крытого хоккейного корта». Удовлетворенность качеством предоставления физкультурных услуг населению в 2016 году составляет 96%</w:t>
      </w:r>
      <w:r w:rsidR="00F5781D">
        <w:rPr>
          <w:rFonts w:ascii="Times New Roman" w:hAnsi="Times New Roman" w:cs="Times New Roman"/>
          <w:sz w:val="28"/>
          <w:szCs w:val="28"/>
        </w:rPr>
        <w:t>.</w:t>
      </w:r>
      <w:r w:rsidRPr="00F911F8">
        <w:rPr>
          <w:rFonts w:ascii="Times New Roman" w:hAnsi="Times New Roman" w:cs="Times New Roman"/>
          <w:sz w:val="28"/>
          <w:szCs w:val="28"/>
        </w:rPr>
        <w:t xml:space="preserve"> Учитывая мнение жителей района можно сделать вывод, что в учреждениях физической культуры и спорта района созданы все необходимые условия, отвечающие современным требованиям к осуществлению тренировочного процесса, позволяющие обеспечить предоставление физкультурных услуг населению, а также дополнительного образования детей спортивной направленности.</w:t>
      </w:r>
    </w:p>
    <w:p w:rsidR="009E52F3" w:rsidRPr="00F911F8" w:rsidRDefault="009E52F3" w:rsidP="00F911F8">
      <w:pPr>
        <w:pStyle w:val="a3"/>
        <w:tabs>
          <w:tab w:val="left" w:pos="567"/>
        </w:tabs>
        <w:suppressAutoHyphens/>
        <w:spacing w:after="0" w:line="240" w:lineRule="auto"/>
        <w:ind w:left="0" w:right="483"/>
        <w:jc w:val="both"/>
        <w:rPr>
          <w:rFonts w:ascii="Times New Roman" w:hAnsi="Times New Roman" w:cs="Times New Roman"/>
          <w:sz w:val="28"/>
          <w:szCs w:val="28"/>
        </w:rPr>
      </w:pPr>
    </w:p>
    <w:p w:rsidR="00F911F8" w:rsidRPr="00F911F8" w:rsidRDefault="00F911F8" w:rsidP="00F911F8">
      <w:pPr>
        <w:suppressAutoHyphens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F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D6FC6">
        <w:rPr>
          <w:rFonts w:ascii="Times New Roman" w:hAnsi="Times New Roman" w:cs="Times New Roman"/>
          <w:sz w:val="28"/>
          <w:szCs w:val="28"/>
        </w:rPr>
        <w:t xml:space="preserve">мероприятий программы комплексного развития в 2016 </w:t>
      </w:r>
      <w:proofErr w:type="gramStart"/>
      <w:r w:rsidR="00ED6FC6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F911F8">
        <w:rPr>
          <w:rFonts w:ascii="Times New Roman" w:hAnsi="Times New Roman" w:cs="Times New Roman"/>
          <w:sz w:val="28"/>
          <w:szCs w:val="28"/>
        </w:rPr>
        <w:t>позволила</w:t>
      </w:r>
      <w:proofErr w:type="gramEnd"/>
      <w:r w:rsidRPr="00F911F8">
        <w:rPr>
          <w:rFonts w:ascii="Times New Roman" w:hAnsi="Times New Roman" w:cs="Times New Roman"/>
          <w:sz w:val="28"/>
          <w:szCs w:val="28"/>
        </w:rPr>
        <w:t xml:space="preserve"> достичь следующих показателей развития физической культуры        и спорта в районе:</w:t>
      </w:r>
    </w:p>
    <w:p w:rsidR="00F911F8" w:rsidRPr="00F911F8" w:rsidRDefault="00ED6FC6" w:rsidP="00F911F8">
      <w:pPr>
        <w:suppressAutoHyphens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>количество граждан, систематически занимающихся физической культурой и спортом, в районе составляет 13 840 человек, или 40,2</w:t>
      </w:r>
      <w:r w:rsidR="00F5781D">
        <w:rPr>
          <w:rFonts w:ascii="Times New Roman" w:hAnsi="Times New Roman" w:cs="Times New Roman"/>
          <w:sz w:val="28"/>
          <w:szCs w:val="28"/>
        </w:rPr>
        <w:t>%</w:t>
      </w:r>
      <w:r w:rsidR="00F911F8" w:rsidRPr="00F911F8">
        <w:rPr>
          <w:rFonts w:ascii="Times New Roman" w:hAnsi="Times New Roman" w:cs="Times New Roman"/>
          <w:sz w:val="28"/>
          <w:szCs w:val="28"/>
        </w:rPr>
        <w:t xml:space="preserve"> от количества жителей района;</w:t>
      </w:r>
    </w:p>
    <w:p w:rsidR="00F911F8" w:rsidRPr="00F911F8" w:rsidRDefault="00ED6FC6" w:rsidP="00F911F8">
      <w:pPr>
        <w:suppressAutoHyphens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>количество спортсменов района, принявших участие в официальных окружных, всероссийских и международных соревнованиях по видам спорта, составляет 450 человек;</w:t>
      </w:r>
    </w:p>
    <w:p w:rsidR="00F911F8" w:rsidRPr="00F911F8" w:rsidRDefault="00ED6FC6" w:rsidP="00F911F8">
      <w:pPr>
        <w:suppressAutoHyphens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>количество спортсменов района, имеющих спортивное звание, разряд: мастер спорта России международного класса, мастер спорта России, кандидат в мастера спорта, первый спортивный разряд, − составляет 85 человек;</w:t>
      </w:r>
    </w:p>
    <w:p w:rsidR="00F911F8" w:rsidRPr="00F911F8" w:rsidRDefault="00ED6FC6" w:rsidP="00F911F8">
      <w:pPr>
        <w:suppressAutoHyphens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>на официальных окружных, всероссийских и официальных международных соревнованиях спортсменами района завоевано 310 медалей;</w:t>
      </w:r>
    </w:p>
    <w:p w:rsidR="00F911F8" w:rsidRPr="00F911F8" w:rsidRDefault="00ED6FC6" w:rsidP="00F911F8">
      <w:pPr>
        <w:suppressAutoHyphens/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1F8" w:rsidRPr="00F911F8">
        <w:rPr>
          <w:rFonts w:ascii="Times New Roman" w:hAnsi="Times New Roman" w:cs="Times New Roman"/>
          <w:sz w:val="28"/>
          <w:szCs w:val="28"/>
        </w:rPr>
        <w:t>обеспеченность единовременной пропускной способности (ЕПС) спортивных сооружений составляет 33</w:t>
      </w:r>
      <w:r w:rsidR="00F5781D">
        <w:rPr>
          <w:rFonts w:ascii="Times New Roman" w:hAnsi="Times New Roman" w:cs="Times New Roman"/>
          <w:sz w:val="28"/>
          <w:szCs w:val="28"/>
        </w:rPr>
        <w:t>%</w:t>
      </w:r>
      <w:r w:rsidR="00F911F8" w:rsidRPr="00F911F8">
        <w:rPr>
          <w:rFonts w:ascii="Times New Roman" w:hAnsi="Times New Roman" w:cs="Times New Roman"/>
          <w:sz w:val="28"/>
          <w:szCs w:val="28"/>
        </w:rPr>
        <w:t>.</w:t>
      </w:r>
    </w:p>
    <w:p w:rsidR="009E52F3" w:rsidRPr="00B40CA2" w:rsidRDefault="009E52F3" w:rsidP="00B40CA2">
      <w:pPr>
        <w:tabs>
          <w:tab w:val="left" w:pos="763"/>
        </w:tabs>
        <w:suppressAutoHyphens/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9E52F3" w:rsidRPr="00B40CA2" w:rsidRDefault="009E52F3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ab/>
      </w:r>
    </w:p>
    <w:p w:rsidR="00C408C3" w:rsidRDefault="00C408C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08C3" w:rsidSect="0014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1035B5"/>
    <w:rsid w:val="0011155B"/>
    <w:rsid w:val="001344AD"/>
    <w:rsid w:val="00141FA0"/>
    <w:rsid w:val="0017489E"/>
    <w:rsid w:val="00174EDA"/>
    <w:rsid w:val="00186F15"/>
    <w:rsid w:val="001E33F4"/>
    <w:rsid w:val="001F6FD6"/>
    <w:rsid w:val="00217FD6"/>
    <w:rsid w:val="00253E12"/>
    <w:rsid w:val="00255268"/>
    <w:rsid w:val="002B100E"/>
    <w:rsid w:val="002C350C"/>
    <w:rsid w:val="002D35B9"/>
    <w:rsid w:val="002D60CE"/>
    <w:rsid w:val="002F175A"/>
    <w:rsid w:val="002F69F6"/>
    <w:rsid w:val="003043A3"/>
    <w:rsid w:val="003579D5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F3241"/>
    <w:rsid w:val="00607DDE"/>
    <w:rsid w:val="00624E13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8058D8"/>
    <w:rsid w:val="008418DB"/>
    <w:rsid w:val="00860C43"/>
    <w:rsid w:val="00867229"/>
    <w:rsid w:val="008B49FA"/>
    <w:rsid w:val="008F0E3C"/>
    <w:rsid w:val="00904E63"/>
    <w:rsid w:val="009A5C2A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312E5"/>
    <w:rsid w:val="00B347D7"/>
    <w:rsid w:val="00B40CA2"/>
    <w:rsid w:val="00B475F7"/>
    <w:rsid w:val="00B732C2"/>
    <w:rsid w:val="00B90EFD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408C3"/>
    <w:rsid w:val="00C415E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24E25"/>
    <w:rsid w:val="00D31037"/>
    <w:rsid w:val="00D351D1"/>
    <w:rsid w:val="00D50117"/>
    <w:rsid w:val="00D546AC"/>
    <w:rsid w:val="00D87457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4331"/>
    <w:rsid w:val="00F5781D"/>
    <w:rsid w:val="00F6023D"/>
    <w:rsid w:val="00F911F8"/>
    <w:rsid w:val="00FA67E2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5632-6B93-4473-9EC5-199CBD7D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C6003BC1C182C7CFCEFF733D913D9DBC6821F608D76DB397B9890F04EB954C2953B1E2DE2BBC9CA9464BEh1f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3C6003BC1C182C7CFCF1FA25B544D6DFCCD513658C7B846C2E9EC7AF1EBF0182D53D4B6EA7BECAhCfE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3C6003BC1C182C7CFCF1FA25B544D6DFCCD513658C7B846C2E9EC7AF1EBF0182D53D4B6EA7BECAhCfEL" TargetMode="External"/><Relationship Id="rId11" Type="http://schemas.openxmlformats.org/officeDocument/2006/relationships/hyperlink" Target="consultantplus://offline/ref=533C6003BC1C182C7CFCEFF733D913D9DBC6821F658875D73771C59AF817B556C59A64092AABB7C8CA9465hBf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3C6003BC1C182C7CFCEFF733D913D9DBC6821F608D76DB397B9890F04EB954C2953B1E2DE2BBC9CA9464BEh1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C6003BC1C182C7CFCEFF733D913D9DBC6821F608D76DB397B9890F04EB954C2953B1E2DE2BBC9CB9067B8h1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7D8E-5092-4AFF-B2B3-A1D6484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Ткаченко Яна Феликсовна</cp:lastModifiedBy>
  <cp:revision>2</cp:revision>
  <cp:lastPrinted>2017-11-01T12:14:00Z</cp:lastPrinted>
  <dcterms:created xsi:type="dcterms:W3CDTF">2017-11-02T06:45:00Z</dcterms:created>
  <dcterms:modified xsi:type="dcterms:W3CDTF">2017-11-02T06:45:00Z</dcterms:modified>
</cp:coreProperties>
</file>