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5</w:t>
      </w:r>
      <w:r w:rsidRPr="009065A7">
        <w:rPr>
          <w:sz w:val="28"/>
          <w:szCs w:val="28"/>
        </w:rPr>
        <w:t>год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Нижневартовском районе</w:t>
      </w:r>
    </w:p>
    <w:p w:rsidR="00DA2D42" w:rsidRPr="00A677AB" w:rsidRDefault="00DA2D42" w:rsidP="004B626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>
        <w:rPr>
          <w:sz w:val="28"/>
          <w:szCs w:val="28"/>
        </w:rPr>
        <w:t>Нижневартовском</w:t>
      </w:r>
      <w:r w:rsidRPr="00A677AB">
        <w:rPr>
          <w:sz w:val="28"/>
          <w:szCs w:val="28"/>
        </w:rPr>
        <w:t xml:space="preserve"> районе проведена оценка бюджетной, социальной и экономической эффективности предоставленных налоговых льгот по местным налогам.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бюджетной, социальной и экономической эффективности предоставляемых налоговых льгот осуществляется </w:t>
      </w:r>
      <w:r>
        <w:rPr>
          <w:sz w:val="28"/>
          <w:szCs w:val="28"/>
        </w:rPr>
        <w:t xml:space="preserve">в соответствии </w:t>
      </w:r>
      <w:r w:rsidRPr="00A677AB"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14.04.2014 № 690 года </w:t>
      </w:r>
      <w:r w:rsidRPr="00A677AB">
        <w:rPr>
          <w:sz w:val="28"/>
          <w:szCs w:val="28"/>
        </w:rPr>
        <w:t>№</w:t>
      </w:r>
      <w:r>
        <w:rPr>
          <w:sz w:val="28"/>
          <w:szCs w:val="28"/>
        </w:rPr>
        <w:t xml:space="preserve"> 690</w:t>
      </w:r>
      <w:r w:rsidRPr="00A677AB">
        <w:rPr>
          <w:sz w:val="28"/>
          <w:szCs w:val="28"/>
        </w:rPr>
        <w:t xml:space="preserve"> «</w:t>
      </w:r>
      <w:r w:rsidRPr="00DA2D42">
        <w:rPr>
          <w:sz w:val="28"/>
          <w:szCs w:val="28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 xml:space="preserve">» </w:t>
      </w:r>
      <w:r w:rsidRPr="00DA2D42">
        <w:rPr>
          <w:sz w:val="28"/>
          <w:szCs w:val="28"/>
        </w:rPr>
        <w:t xml:space="preserve">и проводится по трем критериям – бюджетная эффективность, социальная и экономическая. 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лиц. </w:t>
      </w:r>
    </w:p>
    <w:p w:rsidR="00DA2D42" w:rsidRP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A2D42">
        <w:rPr>
          <w:sz w:val="28"/>
          <w:szCs w:val="28"/>
        </w:rPr>
        <w:t>Под оценкой эффективности понимается соответствие интересов бюджета района общественным интересам. Целью оценки является минимизация потерь бюджета, связанных с предоставлением налоговых льгот, и сохранение социальной политики в области налогообложения.</w:t>
      </w:r>
    </w:p>
    <w:p w:rsidR="00DA2D42" w:rsidRPr="00A677AB" w:rsidRDefault="00DA2D42" w:rsidP="004B62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2015</w:t>
      </w:r>
      <w:r w:rsidRPr="00A677AB">
        <w:rPr>
          <w:sz w:val="28"/>
          <w:szCs w:val="28"/>
        </w:rPr>
        <w:t xml:space="preserve"> год по форме 5-МН, предоставленного инспекцией </w:t>
      </w:r>
      <w:r>
        <w:rPr>
          <w:sz w:val="28"/>
          <w:szCs w:val="28"/>
        </w:rPr>
        <w:t xml:space="preserve">Межрайонной инспекцией ФНС России № 6 по ХМАО – </w:t>
      </w:r>
      <w:proofErr w:type="gramStart"/>
      <w:r>
        <w:rPr>
          <w:sz w:val="28"/>
          <w:szCs w:val="28"/>
        </w:rPr>
        <w:t>Югре.</w:t>
      </w:r>
      <w:r w:rsidRPr="00A677AB">
        <w:rPr>
          <w:sz w:val="28"/>
          <w:szCs w:val="28"/>
        </w:rPr>
        <w:t>.</w:t>
      </w:r>
      <w:proofErr w:type="gramEnd"/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на очередной финансовый год и плановый период;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Налог на имущество физических лиц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</w:p>
    <w:p w:rsidR="00DA2D42" w:rsidRPr="00A677AB" w:rsidRDefault="000D01F8" w:rsidP="004B626C">
      <w:pPr>
        <w:pStyle w:val="ConsPlusNormal"/>
        <w:spacing w:line="276" w:lineRule="auto"/>
        <w:ind w:firstLine="709"/>
        <w:jc w:val="both"/>
      </w:pPr>
      <w:r>
        <w:lastRenderedPageBreak/>
        <w:t>Решением</w:t>
      </w:r>
      <w:r w:rsidR="005E338A">
        <w:t xml:space="preserve"> Думы </w:t>
      </w:r>
      <w:proofErr w:type="spellStart"/>
      <w:r w:rsidR="005E338A">
        <w:t>Нижневартовского</w:t>
      </w:r>
      <w:proofErr w:type="spellEnd"/>
      <w:r w:rsidR="005E338A">
        <w:t xml:space="preserve"> района от 28.11.2014 № 587 «О налоге на имущество физических </w:t>
      </w:r>
      <w:proofErr w:type="gramStart"/>
      <w:r w:rsidR="005E338A">
        <w:t xml:space="preserve">лиц» </w:t>
      </w:r>
      <w:r>
        <w:t xml:space="preserve"> на</w:t>
      </w:r>
      <w:proofErr w:type="gramEnd"/>
      <w:r>
        <w:t xml:space="preserve"> межселенной территории района (</w:t>
      </w:r>
      <w:r w:rsidR="00217C43">
        <w:t xml:space="preserve">в том числе </w:t>
      </w:r>
      <w:r>
        <w:t xml:space="preserve">село </w:t>
      </w:r>
      <w:proofErr w:type="spellStart"/>
      <w:r>
        <w:t>Былино</w:t>
      </w:r>
      <w:proofErr w:type="spellEnd"/>
      <w:r>
        <w:t xml:space="preserve">, деревня </w:t>
      </w:r>
      <w:proofErr w:type="spellStart"/>
      <w:r>
        <w:t>Вампугол</w:t>
      </w:r>
      <w:proofErr w:type="spellEnd"/>
      <w:r>
        <w:t xml:space="preserve">, деревня </w:t>
      </w:r>
      <w:proofErr w:type="spellStart"/>
      <w:r>
        <w:t>Пасол</w:t>
      </w:r>
      <w:proofErr w:type="spellEnd"/>
      <w:r>
        <w:t xml:space="preserve">, деревня Соснина) установлен налог на имущество физических лиц, исходя из кадастровой стоимости. При этом </w:t>
      </w:r>
      <w:r w:rsidR="005E338A">
        <w:t xml:space="preserve">налоговые льготы для физических лиц не устанавливались, так как Налоговым кодексом Российской Федерации установлен исчерпывающий перечень категорий лиц, которым </w:t>
      </w:r>
      <w:r>
        <w:t>предоставлены</w:t>
      </w:r>
      <w:r w:rsidR="005E338A">
        <w:t xml:space="preserve"> льготы, а также, в отношении каждого объекта недвижимого имущества установлены налоговые вычеты. 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нормативным правовым актом представительного органа </w:t>
      </w:r>
      <w:proofErr w:type="spellStart"/>
      <w:r w:rsidR="000D01F8">
        <w:rPr>
          <w:sz w:val="28"/>
          <w:szCs w:val="28"/>
        </w:rPr>
        <w:t>Нижневартовского</w:t>
      </w:r>
      <w:proofErr w:type="spellEnd"/>
      <w:r w:rsidR="000D01F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201</w:t>
      </w:r>
      <w:r w:rsidR="000D01F8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составила 0 рублей. Количество налогоплательщиков налога на имущество физических лиц, учтенных в базе данных налогового органа </w:t>
      </w: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0D01F8">
        <w:rPr>
          <w:sz w:val="28"/>
          <w:szCs w:val="28"/>
        </w:rPr>
        <w:t>94</w:t>
      </w:r>
      <w:r w:rsidRPr="00A677AB">
        <w:rPr>
          <w:sz w:val="28"/>
          <w:szCs w:val="28"/>
        </w:rPr>
        <w:t>, количество налогоплательщиков которым исчислен налог и не предоставлены налоговые льготы –</w:t>
      </w:r>
      <w:r>
        <w:rPr>
          <w:sz w:val="28"/>
          <w:szCs w:val="28"/>
        </w:rPr>
        <w:t xml:space="preserve"> </w:t>
      </w:r>
      <w:r w:rsidR="000D01F8">
        <w:rPr>
          <w:sz w:val="28"/>
          <w:szCs w:val="28"/>
        </w:rPr>
        <w:t>69, предоставлены налоговые льготы, установленные федеральным законодательством – 25.</w:t>
      </w:r>
    </w:p>
    <w:p w:rsidR="000D01F8" w:rsidRDefault="00DA2D42" w:rsidP="004B626C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 w:rsidR="00217C43">
        <w:t>о</w:t>
      </w:r>
      <w:r w:rsidRPr="00A677AB">
        <w:t xml:space="preserve"> </w:t>
      </w:r>
      <w:r w:rsidR="000D01F8" w:rsidRPr="00A677AB">
        <w:t>постановле</w:t>
      </w:r>
      <w:r w:rsidR="000D01F8">
        <w:t>нию</w:t>
      </w:r>
      <w:r w:rsidR="000D01F8" w:rsidRPr="00A677AB">
        <w:t xml:space="preserve"> администрации </w:t>
      </w:r>
      <w:proofErr w:type="spellStart"/>
      <w:r w:rsidR="000D01F8">
        <w:t>Нижневартовского</w:t>
      </w:r>
      <w:proofErr w:type="spellEnd"/>
      <w:r w:rsidR="000D01F8" w:rsidRPr="00A677AB">
        <w:t xml:space="preserve"> района от </w:t>
      </w:r>
      <w:r w:rsidR="000D01F8">
        <w:t xml:space="preserve">14.04.2014 № 690 года </w:t>
      </w:r>
      <w:r w:rsidR="000D01F8" w:rsidRPr="00A677AB">
        <w:t>№</w:t>
      </w:r>
      <w:r w:rsidR="000D01F8">
        <w:t xml:space="preserve"> 690</w:t>
      </w:r>
      <w:r w:rsidR="000D01F8" w:rsidRPr="00A677AB">
        <w:t xml:space="preserve"> «</w:t>
      </w:r>
      <w:r w:rsidR="000D01F8" w:rsidRPr="00DA2D42"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 w:rsidR="000D01F8">
        <w:t>»:</w:t>
      </w:r>
    </w:p>
    <w:p w:rsidR="000D01F8" w:rsidRDefault="000D01F8" w:rsidP="004B626C">
      <w:pPr>
        <w:pStyle w:val="ConsPlusNormal"/>
        <w:spacing w:line="276" w:lineRule="auto"/>
        <w:ind w:firstLine="709"/>
        <w:jc w:val="both"/>
      </w:pPr>
      <w:r>
        <w:t>С</w:t>
      </w:r>
      <w:r w:rsidRPr="00847164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0D01F8" w:rsidRDefault="000D01F8" w:rsidP="004B626C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физических лиц, учреждений, финансируемых за счет средств бюджета района или Ханты-Мансийского автономного округа – Югры, а также некоммерческих организаций, не рассчитывается.</w:t>
      </w:r>
    </w:p>
    <w:p w:rsidR="000D01F8" w:rsidRPr="00847164" w:rsidRDefault="000D01F8" w:rsidP="004B626C">
      <w:pPr>
        <w:pStyle w:val="ConsPlusNormal"/>
        <w:spacing w:line="276" w:lineRule="auto"/>
        <w:ind w:firstLine="709"/>
        <w:jc w:val="both"/>
      </w:pPr>
      <w:r>
        <w:t>В отношении коммерческих организаций, в случае отсутствия информации о налоговых льготах, показатель считается равным 1.</w:t>
      </w:r>
    </w:p>
    <w:p w:rsidR="000D01F8" w:rsidRPr="000D01F8" w:rsidRDefault="000D01F8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0D01F8">
        <w:rPr>
          <w:sz w:val="28"/>
          <w:szCs w:val="28"/>
        </w:rPr>
        <w:t>Исходя из проведенного анализа достигнута социальная, бюджетная и экономическая эффективность по всем критериям, определяемым порядком оценки эффективности льгот. Льготы, предоставляемые в соответствии с нормативными правовыми актами по местным налогам признаны эффективными.</w:t>
      </w:r>
    </w:p>
    <w:p w:rsidR="00DA2D42" w:rsidRDefault="00DA2D42" w:rsidP="004B626C">
      <w:pPr>
        <w:spacing w:line="276" w:lineRule="auto"/>
        <w:ind w:firstLine="709"/>
        <w:jc w:val="both"/>
      </w:pPr>
    </w:p>
    <w:p w:rsidR="00DA2D42" w:rsidRPr="00A677AB" w:rsidRDefault="00DA2D42" w:rsidP="004B626C">
      <w:pPr>
        <w:spacing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</w:p>
    <w:p w:rsidR="00DA2D42" w:rsidRPr="00790AD0" w:rsidRDefault="00790AD0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Нижневартвоского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17.11.2015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721)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на межселенной территории района (</w:t>
      </w:r>
      <w:r w:rsidR="00217C43">
        <w:rPr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Pr="00790AD0">
        <w:rPr>
          <w:rFonts w:ascii="Times New Roman" w:hAnsi="Times New Roman" w:cs="Times New Roman"/>
          <w:b w:val="0"/>
          <w:sz w:val="28"/>
          <w:szCs w:val="28"/>
        </w:rPr>
        <w:t>Былино</w:t>
      </w:r>
      <w:proofErr w:type="spellEnd"/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, деревня </w:t>
      </w:r>
      <w:proofErr w:type="spellStart"/>
      <w:r w:rsidRPr="00790AD0">
        <w:rPr>
          <w:rFonts w:ascii="Times New Roman" w:hAnsi="Times New Roman" w:cs="Times New Roman"/>
          <w:b w:val="0"/>
          <w:sz w:val="28"/>
          <w:szCs w:val="28"/>
        </w:rPr>
        <w:t>Вампугол</w:t>
      </w:r>
      <w:proofErr w:type="spellEnd"/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, деревня </w:t>
      </w:r>
      <w:proofErr w:type="spellStart"/>
      <w:r w:rsidRPr="00790AD0">
        <w:rPr>
          <w:rFonts w:ascii="Times New Roman" w:hAnsi="Times New Roman" w:cs="Times New Roman"/>
          <w:b w:val="0"/>
          <w:sz w:val="28"/>
          <w:szCs w:val="28"/>
        </w:rPr>
        <w:t>Пасол</w:t>
      </w:r>
      <w:proofErr w:type="spellEnd"/>
      <w:r w:rsidRPr="00790AD0">
        <w:rPr>
          <w:rFonts w:ascii="Times New Roman" w:hAnsi="Times New Roman" w:cs="Times New Roman"/>
          <w:b w:val="0"/>
          <w:sz w:val="28"/>
          <w:szCs w:val="28"/>
        </w:rPr>
        <w:t>, де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lastRenderedPageBreak/>
        <w:t>ревня Соснина)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земельный налог. </w:t>
      </w:r>
      <w:r w:rsidR="00DA2D42"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1. Герои Советского Союза, Герои Российской Федерации, полные кавалеры ордена Славы.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2. Ветераны и инвалиды Великой Отечественной войны, а также ветераны и инвалиды боевых действий.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3. Неработающие пенсионеры в отношении одного земельного участка.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4. Многодетные семьи, имеющие на иждивении 3-х и более детей.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5. Инвалиды I, II групп, а также инвалиды детства.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6. Неработающие инвалиды III группы.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 xml:space="preserve">8. Лица, имеющие право на получение социальной поддержки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18.06.1992 N 3061-1),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 xml:space="preserve">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</w:t>
      </w:r>
      <w:r>
        <w:lastRenderedPageBreak/>
        <w:t>органов уголовно-исполнительной системы, потерявших кормильца при исполнении ими служебных обязанностей.</w:t>
      </w:r>
    </w:p>
    <w:p w:rsidR="00BE5B23" w:rsidRPr="00A677AB" w:rsidRDefault="00BE5B23" w:rsidP="004B62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proofErr w:type="spellStart"/>
      <w:r w:rsidR="00790AD0">
        <w:rPr>
          <w:sz w:val="28"/>
          <w:szCs w:val="28"/>
        </w:rPr>
        <w:t>Нижневартовского</w:t>
      </w:r>
      <w:proofErr w:type="spellEnd"/>
      <w:r w:rsidR="00790AD0">
        <w:rPr>
          <w:sz w:val="28"/>
          <w:szCs w:val="28"/>
        </w:rPr>
        <w:t xml:space="preserve"> района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790AD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2370B8">
        <w:rPr>
          <w:sz w:val="28"/>
          <w:szCs w:val="28"/>
        </w:rPr>
        <w:t>51</w:t>
      </w:r>
      <w:r w:rsidRPr="00A677AB">
        <w:rPr>
          <w:sz w:val="28"/>
          <w:szCs w:val="28"/>
        </w:rPr>
        <w:t xml:space="preserve">0 </w:t>
      </w:r>
      <w:r w:rsidR="002370B8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BE5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5B23">
        <w:rPr>
          <w:sz w:val="28"/>
          <w:szCs w:val="28"/>
        </w:rPr>
        <w:t>2 718, из них которым предоставлены налоговые льготы, установленные нормативными правовыми актами представительных органов муниципальных образований – 994.</w:t>
      </w:r>
    </w:p>
    <w:p w:rsidR="00217C43" w:rsidRDefault="00217C43" w:rsidP="004B626C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администрации </w:t>
      </w:r>
      <w:proofErr w:type="spellStart"/>
      <w:r>
        <w:t>Нижневартовского</w:t>
      </w:r>
      <w:proofErr w:type="spellEnd"/>
      <w:r w:rsidRPr="00A677AB">
        <w:t xml:space="preserve"> района от </w:t>
      </w:r>
      <w:r>
        <w:t xml:space="preserve">14.04.2014 № 690 года </w:t>
      </w:r>
      <w:r w:rsidRPr="00A677AB">
        <w:t>№</w:t>
      </w:r>
      <w:r>
        <w:t xml:space="preserve"> 690</w:t>
      </w:r>
      <w:r w:rsidRPr="00A677AB">
        <w:t xml:space="preserve"> «</w:t>
      </w:r>
      <w:r w:rsidRPr="00DA2D42"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DA2D42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представительного органа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A677AB">
        <w:rPr>
          <w:sz w:val="28"/>
          <w:szCs w:val="28"/>
        </w:rPr>
        <w:t xml:space="preserve"> района налоговые льготы по земельному налогу для физических лиц им</w:t>
      </w:r>
      <w:r w:rsidR="00217C43"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 w:rsidR="00217C43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 w:rsidR="00217C43"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DA2D42" w:rsidRPr="00A677AB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</w:p>
    <w:p w:rsidR="00DA2D42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 w:rsidR="00217C43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 год по земельному налогу по </w:t>
      </w:r>
      <w:r w:rsidRPr="00A677AB">
        <w:rPr>
          <w:sz w:val="28"/>
          <w:szCs w:val="28"/>
          <w:u w:val="single"/>
        </w:rPr>
        <w:t>юридическим лицам</w:t>
      </w:r>
      <w:r w:rsidRPr="00A677AB">
        <w:rPr>
          <w:sz w:val="28"/>
          <w:szCs w:val="28"/>
        </w:rPr>
        <w:t xml:space="preserve">: </w:t>
      </w:r>
    </w:p>
    <w:p w:rsidR="00BB04CF" w:rsidRPr="00790AD0" w:rsidRDefault="00BB04CF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Нижневартвоского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17.11.2015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721)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на межселенной территории района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Pr="00790AD0">
        <w:rPr>
          <w:rFonts w:ascii="Times New Roman" w:hAnsi="Times New Roman" w:cs="Times New Roman"/>
          <w:b w:val="0"/>
          <w:sz w:val="28"/>
          <w:szCs w:val="28"/>
        </w:rPr>
        <w:t>Былино</w:t>
      </w:r>
      <w:proofErr w:type="spellEnd"/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, деревня </w:t>
      </w:r>
      <w:proofErr w:type="spellStart"/>
      <w:r w:rsidRPr="00790AD0">
        <w:rPr>
          <w:rFonts w:ascii="Times New Roman" w:hAnsi="Times New Roman" w:cs="Times New Roman"/>
          <w:b w:val="0"/>
          <w:sz w:val="28"/>
          <w:szCs w:val="28"/>
        </w:rPr>
        <w:t>Вампугол</w:t>
      </w:r>
      <w:proofErr w:type="spellEnd"/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, деревня </w:t>
      </w:r>
      <w:proofErr w:type="spellStart"/>
      <w:r w:rsidRPr="00790AD0">
        <w:rPr>
          <w:rFonts w:ascii="Times New Roman" w:hAnsi="Times New Roman" w:cs="Times New Roman"/>
          <w:b w:val="0"/>
          <w:sz w:val="28"/>
          <w:szCs w:val="28"/>
        </w:rPr>
        <w:t>Пасол</w:t>
      </w:r>
      <w:proofErr w:type="spellEnd"/>
      <w:r w:rsidRPr="00790AD0">
        <w:rPr>
          <w:rFonts w:ascii="Times New Roman" w:hAnsi="Times New Roman" w:cs="Times New Roman"/>
          <w:b w:val="0"/>
          <w:sz w:val="28"/>
          <w:szCs w:val="28"/>
        </w:rPr>
        <w:t>, деревня Соснина)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земельный налог.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 xml:space="preserve">1. Учреждения района, финансируемые полностью или частично (в том числе в виде субсидий) за счет средств бюджета </w:t>
      </w:r>
      <w:proofErr w:type="spellStart"/>
      <w:r>
        <w:t>Нижневартовского</w:t>
      </w:r>
      <w:proofErr w:type="spellEnd"/>
      <w:r>
        <w:t xml:space="preserve">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</w:t>
      </w:r>
      <w:r w:rsidR="004B626C">
        <w:t>й категорией налогоплательщиков -</w:t>
      </w:r>
      <w:r>
        <w:t xml:space="preserve"> </w:t>
      </w:r>
      <w:r w:rsidR="004B626C">
        <w:t xml:space="preserve">физическими лицами, определенными </w:t>
      </w:r>
      <w:r>
        <w:t>настоящ</w:t>
      </w:r>
      <w:r w:rsidR="004B626C">
        <w:t>им</w:t>
      </w:r>
      <w:r>
        <w:t xml:space="preserve"> решени</w:t>
      </w:r>
      <w:r w:rsidR="004B626C">
        <w:t>ем</w:t>
      </w:r>
      <w:r>
        <w:t>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lastRenderedPageBreak/>
        <w:t xml:space="preserve">3. Организации и физические лица, являющиеся индивидуальными предпринимателями, в отношении земельных участков под инвестиционными проектами, на срок реализации таких проектов на территории </w:t>
      </w:r>
      <w:proofErr w:type="spellStart"/>
      <w:r>
        <w:t>Нижневартовского</w:t>
      </w:r>
      <w:proofErr w:type="spellEnd"/>
      <w:r>
        <w:t xml:space="preserve">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В 2015 году в целях увеличения инвестиционной привлекательности территории района была введена льгота для организаций и индивидуальных предпринимателей в виде освобождения от уплаты налога в размере 100 % на срок реализации таких проектов. В 2015 году данная льгота востребована не была.</w:t>
      </w:r>
    </w:p>
    <w:p w:rsidR="00DA2D42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BB04CF">
        <w:rPr>
          <w:sz w:val="28"/>
          <w:szCs w:val="28"/>
        </w:rPr>
        <w:t>33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>
        <w:rPr>
          <w:sz w:val="28"/>
          <w:szCs w:val="28"/>
        </w:rPr>
        <w:t>1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представительного органа </w:t>
      </w:r>
      <w:proofErr w:type="spellStart"/>
      <w:r w:rsidR="00BB04CF">
        <w:rPr>
          <w:sz w:val="28"/>
          <w:szCs w:val="28"/>
        </w:rPr>
        <w:t>Нижневартовского</w:t>
      </w:r>
      <w:proofErr w:type="spellEnd"/>
      <w:r w:rsidR="00BB04CF">
        <w:rPr>
          <w:sz w:val="28"/>
          <w:szCs w:val="28"/>
        </w:rPr>
        <w:t xml:space="preserve"> района</w:t>
      </w:r>
      <w:r w:rsidRPr="00D33C63">
        <w:rPr>
          <w:sz w:val="28"/>
          <w:szCs w:val="28"/>
        </w:rPr>
        <w:t>, в 201</w:t>
      </w:r>
      <w:r w:rsidR="00BB04CF">
        <w:rPr>
          <w:sz w:val="28"/>
          <w:szCs w:val="28"/>
        </w:rPr>
        <w:t>5</w:t>
      </w:r>
      <w:r w:rsidRPr="00D33C63">
        <w:rPr>
          <w:sz w:val="28"/>
          <w:szCs w:val="28"/>
        </w:rPr>
        <w:t xml:space="preserve"> году составила </w:t>
      </w:r>
      <w:r w:rsidR="00BB04CF">
        <w:rPr>
          <w:sz w:val="28"/>
          <w:szCs w:val="28"/>
        </w:rPr>
        <w:t>2</w:t>
      </w:r>
      <w:r w:rsidRPr="00D33C63">
        <w:rPr>
          <w:sz w:val="28"/>
          <w:szCs w:val="28"/>
        </w:rPr>
        <w:t xml:space="preserve"> тыс. руб.</w:t>
      </w:r>
      <w:r w:rsidR="0030365E">
        <w:rPr>
          <w:sz w:val="28"/>
          <w:szCs w:val="28"/>
        </w:rPr>
        <w:t>, установленных федеральным законодательством – 6845 тыс. рублей.</w:t>
      </w:r>
      <w:r w:rsidRPr="00D33C63">
        <w:rPr>
          <w:sz w:val="28"/>
          <w:szCs w:val="28"/>
        </w:rPr>
        <w:t xml:space="preserve"> Налогоплательщик, воспользовавшийся правом применения льготного налогообложения в 201</w:t>
      </w:r>
      <w:r w:rsidR="00BB04CF">
        <w:rPr>
          <w:sz w:val="28"/>
          <w:szCs w:val="28"/>
        </w:rPr>
        <w:t>5</w:t>
      </w:r>
      <w:r w:rsidRPr="00D33C63">
        <w:rPr>
          <w:sz w:val="28"/>
          <w:szCs w:val="28"/>
        </w:rPr>
        <w:t xml:space="preserve"> году</w:t>
      </w:r>
      <w:r w:rsidR="0030365E">
        <w:rPr>
          <w:sz w:val="28"/>
          <w:szCs w:val="28"/>
        </w:rPr>
        <w:t xml:space="preserve">, </w:t>
      </w:r>
      <w:r w:rsidR="0030365E" w:rsidRPr="00A677AB">
        <w:rPr>
          <w:sz w:val="28"/>
          <w:szCs w:val="28"/>
        </w:rPr>
        <w:t xml:space="preserve">установленных нормативным правовым актом представительного органа </w:t>
      </w:r>
      <w:proofErr w:type="spellStart"/>
      <w:r w:rsidR="0030365E">
        <w:rPr>
          <w:sz w:val="28"/>
          <w:szCs w:val="28"/>
        </w:rPr>
        <w:t>Нижневартовского</w:t>
      </w:r>
      <w:proofErr w:type="spellEnd"/>
      <w:r w:rsidR="0030365E">
        <w:rPr>
          <w:sz w:val="28"/>
          <w:szCs w:val="28"/>
        </w:rPr>
        <w:t xml:space="preserve"> района</w:t>
      </w:r>
      <w:r w:rsidRPr="00D33C63">
        <w:rPr>
          <w:sz w:val="28"/>
          <w:szCs w:val="28"/>
        </w:rPr>
        <w:t xml:space="preserve">, </w:t>
      </w:r>
      <w:r w:rsidR="004B626C"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proofErr w:type="spellStart"/>
      <w:r>
        <w:rPr>
          <w:sz w:val="28"/>
          <w:szCs w:val="28"/>
        </w:rPr>
        <w:t>Нижневартовского</w:t>
      </w:r>
      <w:proofErr w:type="spellEnd"/>
      <w:r w:rsidRPr="00D33C63">
        <w:rPr>
          <w:sz w:val="28"/>
          <w:szCs w:val="28"/>
        </w:rPr>
        <w:t xml:space="preserve"> района.</w:t>
      </w:r>
    </w:p>
    <w:p w:rsidR="004B626C" w:rsidRDefault="004B626C" w:rsidP="004B626C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 или Ханты-Мансийского автономного округа – Югры,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4B626C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549B">
        <w:rPr>
          <w:sz w:val="28"/>
          <w:szCs w:val="28"/>
        </w:rPr>
        <w:t>Бюджетная, экономическая эффективность налоговых льгот по земельному налогу для юридических лиц за 201</w:t>
      </w:r>
      <w:r w:rsidR="00BB04CF">
        <w:rPr>
          <w:sz w:val="28"/>
          <w:szCs w:val="28"/>
        </w:rPr>
        <w:t>5</w:t>
      </w:r>
      <w:r w:rsidRPr="002F549B">
        <w:rPr>
          <w:sz w:val="28"/>
          <w:szCs w:val="28"/>
        </w:rPr>
        <w:t xml:space="preserve"> год может быть признана положительной. </w:t>
      </w:r>
    </w:p>
    <w:p w:rsidR="00DA2D42" w:rsidRPr="002F549B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549B">
        <w:rPr>
          <w:sz w:val="28"/>
          <w:szCs w:val="28"/>
        </w:rPr>
        <w:t>Расчёт</w:t>
      </w:r>
      <w:r w:rsidR="00BB04CF">
        <w:rPr>
          <w:sz w:val="28"/>
          <w:szCs w:val="28"/>
        </w:rPr>
        <w:t>ы</w:t>
      </w:r>
      <w:r w:rsidRPr="002F549B">
        <w:rPr>
          <w:sz w:val="28"/>
          <w:szCs w:val="28"/>
        </w:rPr>
        <w:t xml:space="preserve"> эффективности приведен</w:t>
      </w:r>
      <w:r w:rsidR="00BB04CF">
        <w:rPr>
          <w:sz w:val="28"/>
          <w:szCs w:val="28"/>
        </w:rPr>
        <w:t>ы</w:t>
      </w:r>
      <w:r w:rsidRPr="002F549B">
        <w:rPr>
          <w:sz w:val="28"/>
          <w:szCs w:val="28"/>
        </w:rPr>
        <w:t xml:space="preserve"> в таблице к аналитической справке. </w:t>
      </w:r>
    </w:p>
    <w:p w:rsidR="00DA2D42" w:rsidRPr="001E2160" w:rsidRDefault="00DA2D42" w:rsidP="00DA2D4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2" w:rsidRDefault="00DA2D42" w:rsidP="00DA2D4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2" w:rsidRDefault="00DA2D42"/>
    <w:sectPr w:rsidR="00DA2D42" w:rsidSect="00E6011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365E">
      <w:r>
        <w:separator/>
      </w:r>
    </w:p>
  </w:endnote>
  <w:endnote w:type="continuationSeparator" w:id="0">
    <w:p w:rsidR="00000000" w:rsidRDefault="003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7E" w:rsidRDefault="002370B8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30365E" w:rsidP="009314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7E" w:rsidRDefault="002370B8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65E">
      <w:rPr>
        <w:rStyle w:val="a6"/>
        <w:noProof/>
      </w:rPr>
      <w:t>1</w:t>
    </w:r>
    <w:r>
      <w:rPr>
        <w:rStyle w:val="a6"/>
      </w:rPr>
      <w:fldChar w:fldCharType="end"/>
    </w:r>
  </w:p>
  <w:p w:rsidR="0080777E" w:rsidRDefault="0030365E" w:rsidP="009314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365E">
      <w:r>
        <w:separator/>
      </w:r>
    </w:p>
  </w:footnote>
  <w:footnote w:type="continuationSeparator" w:id="0">
    <w:p w:rsidR="00000000" w:rsidRDefault="003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8E9"/>
    <w:multiLevelType w:val="hybridMultilevel"/>
    <w:tmpl w:val="8C204F5A"/>
    <w:lvl w:ilvl="0" w:tplc="A302136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2"/>
    <w:rsid w:val="000D01F8"/>
    <w:rsid w:val="0014716E"/>
    <w:rsid w:val="00217C43"/>
    <w:rsid w:val="002370B8"/>
    <w:rsid w:val="0030365E"/>
    <w:rsid w:val="004B626C"/>
    <w:rsid w:val="005E338A"/>
    <w:rsid w:val="00790AD0"/>
    <w:rsid w:val="00BB04CF"/>
    <w:rsid w:val="00BE5B23"/>
    <w:rsid w:val="00D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9BA0-6171-4B5C-A438-3F0ECFC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D4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D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D42"/>
  </w:style>
  <w:style w:type="paragraph" w:customStyle="1" w:styleId="ConsPlusNormal">
    <w:name w:val="ConsPlusNormal"/>
    <w:qFormat/>
    <w:rsid w:val="00DA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CAE4BC3D587E28922CBF449GFF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F4F3F17E7C63222F1D6014A747456DCA545CFDC8FBF832A92F84BFFG6FE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CF4F3F17E7C63222F1D6014A747456DCA545CCD58EBF832A92F84BFFG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CAA4ECFD78BBF832A92F84BFFG6F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2</cp:revision>
  <dcterms:created xsi:type="dcterms:W3CDTF">2016-10-28T06:52:00Z</dcterms:created>
  <dcterms:modified xsi:type="dcterms:W3CDTF">2016-10-31T07:25:00Z</dcterms:modified>
</cp:coreProperties>
</file>