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color w:val="000000"/>
        </w:rPr>
      </w:pPr>
      <w:r>
        <w:rPr>
          <w:color w:val="000000"/>
        </w:rPr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</w:rPr>
        <w:t>ГУБЕРНАТОР ХАНТЫ-МАНСИЙСКОГО АВТОНОМНОГО ОКРУГА - ЮГРЫ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РАСПОРЯЖЕНИЕ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от 29 сентября 2016 г. N 219-рг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ОБ ОЦЕНКЕ ЭФФЕКТИВНОСТИ ДЕЯТЕЛЬНОСТИ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УПОЛНОМОЧЕННОГО ОРГАНА ХАНТЫ-МАНСИЙСКОГО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АВТОНОМНОГО ОКРУГА - ЮГРЫ ПО ПРОФИЛАКТИКЕ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КОРРУПЦИОННЫХ И ИНЫХ ПРАВОНАРУШЕНИЙ 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ПРЕЗИДИУМА КОМИССИИ ПО КООРДИНАЦИИ РАБОТЫ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ПО ПРОТИВОДЕЙСТВИЮ КОРРУПЦИИ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В ХАНТЫ-МАНСИЙСКОМ АВТОНОМНОМ ОКРУГЕ - ЮГРЕ</w:t>
      </w:r>
    </w:p>
    <w:p>
      <w:pPr>
        <w:pStyle w:val="Normal"/>
        <w:spacing w:before="0" w:after="1"/>
        <w:rPr>
          <w:color w:val="000000"/>
        </w:rPr>
      </w:pPr>
      <w:r>
        <w:rPr>
          <w:color w:val="000000"/>
        </w:rPr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</w:t>
            </w:r>
            <w:r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Губернатора ХМАО - Югры от 08.05.2018 N 107-рг)</w:t>
            </w:r>
          </w:p>
        </w:tc>
      </w:tr>
    </w:tbl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целях совершенствования деятельности по противодействию коррупции, во исполнение пункта 8 Перечня поручений Президента Российской Федерации от 16 февраля 2016 года N Пр-299 по итогам заседания Совета при Президенте Российской Федерации по противодействию коррупции 26 января 2016 года: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Утвердить прилагаемое </w:t>
      </w:r>
      <w:r>
        <w:rPr>
          <w:color w:val="000000"/>
        </w:rPr>
        <w:t>Положение</w:t>
      </w:r>
      <w:r>
        <w:rPr>
          <w:color w:val="000000"/>
        </w:rPr>
        <w:t xml:space="preserve"> об оценке эффективности деятельности уполномоченного органа Ханты-Мансийского автономного округа - Югры по профилактике коррупционных и иных правонарушений и президиума </w:t>
      </w:r>
      <w:bookmarkStart w:id="0" w:name="__DdeLink__39006_1511132301"/>
      <w:r>
        <w:rPr>
          <w:color w:val="000000"/>
        </w:rPr>
        <w:t>Комиссии по координации работы по противодействию коррупции в Ханты-Мансийском автономном округе - Югре</w:t>
      </w:r>
      <w:bookmarkEnd w:id="0"/>
      <w:r>
        <w:rPr>
          <w:color w:val="000000"/>
        </w:rPr>
        <w:t>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Губернатор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Ханты-Мансийского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автономного округа - Югры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Н.В.КОМАРОВА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к распоряжению Губернатора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Ханты-Мансийского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автономного округа - Югры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от 29 сентября 2016 года N 219-рг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bookmarkStart w:id="1" w:name="P34"/>
      <w:bookmarkEnd w:id="1"/>
      <w:r>
        <w:rPr>
          <w:color w:val="000000"/>
        </w:rPr>
        <w:t>ПОЛОЖЕНИЕ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ОБ ОЦЕНКЕ ЭФФЕКТИВНОСТИ ДЕЯТЕЛЬНОСТИ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УПОЛНОМОЧЕННОГО ОРГАНА ХАНТЫ-МАНСИЙСКОГО АВТОНОМНОГО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ОКРУГА - ЮГРЫ ПО ПРОФИЛАКТИКЕ КОРРУПЦИОННЫХ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И ИНЫХ ПРАВОНАРУШЕНИЙ И ПРЕЗИДИУМА КОМИССИИ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ПО КООРДИНАЦИИ РАБОТЫ ПО ПРОТИВОДЕЙСТВИЮ КОРРУПЦИИ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В ХАНТЫ-МАНСИЙСКОМ АВТОНОМНОМ ОКРУГЕ - ЮГРЕ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(ДАЛЕЕ - ПОЛОЖЕНИЕ)</w:t>
      </w:r>
    </w:p>
    <w:p>
      <w:pPr>
        <w:pStyle w:val="Normal"/>
        <w:spacing w:before="0" w:after="1"/>
        <w:rPr>
          <w:color w:val="000000"/>
        </w:rPr>
      </w:pPr>
      <w:r>
        <w:rPr>
          <w:color w:val="000000"/>
        </w:rPr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</w:t>
            </w:r>
            <w:r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Губернатора ХМАО - Югры от 08.05.2018 N 107-рг)</w:t>
            </w:r>
          </w:p>
        </w:tc>
      </w:tr>
    </w:tbl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 Положение разработано в целях принятия дополнительных мер по созданию системы контроля за эффективностью работы уполномоченного органа Ханты-Мансийского автономного округа - Югры по профилактике коррупционных и иных правонарушений и президиума Комиссии по координации работы по противодействию коррупции в Ханты-Мансийском автономном округе - Югре (далее также - автономный округ) в части, касающейся соблюдения требований к служебному поведению лиц, замещающих государственные должности автономного округа и должности государственной гражданской службы автономного округа категории "руководители", назначение на которые и освобождение от которых осуществляет Губернатор автономного округа.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2. В Положении используются следующие понятия и сокращения: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Департамент - Департамент государственной службы и кадровой политики автономного округа;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Комиссия - Комиссия по координации работы по противодействию коррупции в автономном округе;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коррупционные правонарушения - деяния, характеризующиеся признаками коррупции;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оценка эффективности - деятельность по систематизации и обобщению информации о достижении показателей, характеризующих эффективность осуществления деятельности уполномоченным органом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 в части, касающейся соблюдения требований к служебному поведению лиц, замещающих государственные должности автономного округа и должности государственной гражданской службы автономного округа категории "руководители", назначение на которые и освобождение от которых осуществляет Губернатор автономного округа (далее - Руководители), за отчетный период с 1 января по 31 декабря;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сведения - сведения о доходах, расходах, об имуществе и обязательствах имущественного характера;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уполномоченный орган по профилактике коррупционных и иных правонарушений (далее - уполномоченный орган) - исполнительный орган государственной власти автономного округа, определенный постановлениями Губернатора автономного округа от 23 января 2014 года </w:t>
      </w:r>
      <w:r>
        <w:rPr>
          <w:color w:val="000000"/>
        </w:rPr>
        <w:t>N 8</w:t>
      </w:r>
      <w:r>
        <w:rPr>
          <w:color w:val="000000"/>
        </w:rPr>
        <w:t xml:space="preserve"> "О Департаменте государственной гражданской службы и кадровой политики Ханты-Мансийского автономного округа - Югры", от 15 октября 2015 года </w:t>
      </w:r>
      <w:r>
        <w:rPr>
          <w:color w:val="000000"/>
        </w:rPr>
        <w:t>N 120</w:t>
      </w:r>
      <w:r>
        <w:rPr>
          <w:color w:val="000000"/>
        </w:rPr>
        <w:t xml:space="preserve"> "О внесении изменений в постановление Губернатора Ханты-Мансийского автономного округа - Югры от 23 января 2014 года N 8 "О Департаменте государственной гражданской службы и кадровой политики Ханты-Мансийского автономного округа - Югры" и определении структурного подразделения по осуществлению профилактики коррупционных и иных правонарушений".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3. Оценка эффективности проводится ежегодно в 3 этапа, начиная с 2017 года.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bookmarkStart w:id="2" w:name="P54"/>
      <w:bookmarkEnd w:id="2"/>
      <w:r>
        <w:rPr>
          <w:color w:val="000000"/>
        </w:rPr>
        <w:t>4. На первом этапе до 20 февраля года, следующего за отчетным, Департамент осуществляет сбор информации по следующим показателями: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распоряжения</w:t>
      </w:r>
      <w:r>
        <w:rPr>
          <w:color w:val="000000"/>
        </w:rPr>
        <w:t xml:space="preserve"> Губернатора ХМАО - Югры от 08.05.2018 N 107-рг)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сообщений, содержащих сведения о совершении Руководителями коррупционных правонарушений, несоблюдении требований к служебному поведению, по которым в течение 3 рабочих дней с даты получения информации инициирована соответствующая проверка, от общего числа вышеуказанных сообщений;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Руководителей, представивших сведения, в отношении которых не выявлены нарушения порядка представления и публикации сведений, от общего числа представивших сведения;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Руководителей, представивших сведения своевременно, от общего числа лиц, обязанных представлять такие сведения (оценивается 1 раз в год, по итогам второго квартала);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Руководителей, представивших полные (достоверные) сведения, от общего числа лиц, обязанных представлять такие сведения;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Руководителей, в отношении которых по итогам заседания президиума Комиссии принято решение о соблюдении требований к служебному поведению и (или) требования об урегулировании конфликта интересов, от общего числа Руководителей, материалы в отношении которых были рассмотрены президиумом Комиссии;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доля граждан, оценивших работу органов государственной власти автономного округа по противодействию коррупции положительно, от общего количества опрошенных (по результатам социологических опросов, в том числе онлайн-опросов, проводимых на едином официальном сайте органов государственной власти автономного округа).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5. На втором этапе, в течение 30 рабочих дней после сбора и обобщения информации, указанной в </w:t>
      </w:r>
      <w:r>
        <w:rPr>
          <w:color w:val="000000"/>
        </w:rPr>
        <w:t>пункте 4</w:t>
      </w:r>
      <w:r>
        <w:rPr>
          <w:color w:val="000000"/>
        </w:rPr>
        <w:t xml:space="preserve"> Положения, Департамент анализирует показатели и представляет об этом аналитическую справку членам Комиссии.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распоряжения</w:t>
      </w:r>
      <w:r>
        <w:rPr>
          <w:color w:val="000000"/>
        </w:rPr>
        <w:t xml:space="preserve"> Губернатора ХМАО - Югры от 08.05.2018 N 107-рг)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6. На третьем этапе Комиссия на очередном заседании принимает решение об оценке эффективности деятельности уполномоченного органа и президиума Комиссии.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(п. 6 в ред. </w:t>
      </w:r>
      <w:r>
        <w:rPr>
          <w:color w:val="000000"/>
        </w:rPr>
        <w:t>распоряжения</w:t>
      </w:r>
      <w:r>
        <w:rPr>
          <w:color w:val="000000"/>
        </w:rPr>
        <w:t xml:space="preserve"> Губернатора ХМАО - Югры от 08.05.2018 N 107-рг)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7. Департамент в течение 3 рабочих дней с даты принятия Комиссией решения об эффективности деятельности уполномоченного органа и президиума Комиссии размещает об этом информацию на официальном сайте "Противодействие коррупции Ханты-Мансийского автономного округа - Югры".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8. В течение 30 рабочих дней после принятия Комиссией решения Департамент обеспечивает подготовку предложений о мерах по совершенствованию деятельности по профилактике коррупционных и иных правонарушений в части, касающейся соблюдения требований к служебному поведению Руководителей.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c1af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6c1af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c1af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LibreOffice/6.1.3.2$Windows_X86_64 LibreOffice_project/86daf60bf00efa86ad547e59e09d6bb77c699acb</Application>
  <Pages>3</Pages>
  <Words>857</Words>
  <Characters>6088</Characters>
  <CharactersWithSpaces>6890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2019-03-19T07:05:00Z</dcterms:created>
  <dc:creator>Шадрина</dc:creator>
  <dc:description/>
  <dc:language>ru-RU</dc:language>
  <cp:lastModifiedBy/>
  <dcterms:modified xsi:type="dcterms:W3CDTF">2019-03-20T13:15:06Z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